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355" w:rsidRDefault="00256355" w:rsidP="00256355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256355">
        <w:rPr>
          <w:rFonts w:asciiTheme="majorEastAsia" w:eastAsiaTheme="majorEastAsia" w:hAnsiTheme="majorEastAsia" w:hint="eastAsia"/>
          <w:b/>
          <w:sz w:val="44"/>
          <w:szCs w:val="44"/>
        </w:rPr>
        <w:t>2022年遂溪县政务服务数据管理局“三公经费”预算情况说明</w:t>
      </w:r>
    </w:p>
    <w:p w:rsidR="00256355" w:rsidRPr="00256355" w:rsidRDefault="00256355" w:rsidP="00256355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</w:p>
    <w:tbl>
      <w:tblPr>
        <w:tblStyle w:val="a3"/>
        <w:tblW w:w="14175" w:type="dxa"/>
        <w:tblLayout w:type="fixed"/>
        <w:tblLook w:val="0000"/>
      </w:tblPr>
      <w:tblGrid>
        <w:gridCol w:w="5359"/>
        <w:gridCol w:w="1785"/>
        <w:gridCol w:w="419"/>
        <w:gridCol w:w="2204"/>
        <w:gridCol w:w="2204"/>
        <w:gridCol w:w="2204"/>
      </w:tblGrid>
      <w:tr w:rsidR="00256355" w:rsidTr="00256355">
        <w:trPr>
          <w:cantSplit/>
          <w:trHeight w:val="431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355" w:rsidRDefault="00256355" w:rsidP="002C2E0A">
            <w:pPr>
              <w:jc w:val="right"/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表7</w:t>
            </w:r>
          </w:p>
        </w:tc>
      </w:tr>
      <w:tr w:rsidR="00256355" w:rsidTr="00256355">
        <w:trPr>
          <w:cantSplit/>
          <w:trHeight w:val="431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355" w:rsidRDefault="00256355" w:rsidP="002C2E0A">
            <w:pPr>
              <w:jc w:val="center"/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财政拨款安排的行政经费及“三公”经费预算表</w:t>
            </w:r>
          </w:p>
        </w:tc>
      </w:tr>
      <w:tr w:rsidR="00256355" w:rsidTr="00256355">
        <w:trPr>
          <w:cantSplit/>
          <w:trHeight w:val="431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6355" w:rsidRDefault="00256355" w:rsidP="002C2E0A">
            <w:pPr>
              <w:jc w:val="left"/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遂溪县政务服务数据管理局 </w:t>
            </w:r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6355" w:rsidRDefault="00256355" w:rsidP="002C2E0A">
            <w:pPr>
              <w:jc w:val="right"/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单位：万元</w:t>
            </w:r>
          </w:p>
        </w:tc>
      </w:tr>
      <w:tr w:rsidR="00256355" w:rsidTr="00256355">
        <w:trPr>
          <w:cantSplit/>
          <w:trHeight w:val="431"/>
          <w:tblHeader/>
        </w:trPr>
        <w:tc>
          <w:tcPr>
            <w:tcW w:w="5359" w:type="dxa"/>
            <w:tcBorders>
              <w:top w:val="single" w:sz="4" w:space="0" w:color="auto"/>
            </w:tcBorders>
            <w:vAlign w:val="center"/>
          </w:tcPr>
          <w:p w:rsidR="00256355" w:rsidRDefault="00256355" w:rsidP="002C2E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</w:tcBorders>
            <w:vAlign w:val="center"/>
          </w:tcPr>
          <w:p w:rsidR="00256355" w:rsidRDefault="00256355" w:rsidP="002C2E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sz="4" w:space="0" w:color="auto"/>
            </w:tcBorders>
            <w:vAlign w:val="center"/>
          </w:tcPr>
          <w:p w:rsidR="00256355" w:rsidRDefault="00256355" w:rsidP="002C2E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sz="4" w:space="0" w:color="auto"/>
            </w:tcBorders>
            <w:vAlign w:val="center"/>
          </w:tcPr>
          <w:p w:rsidR="00256355" w:rsidRDefault="00256355" w:rsidP="002C2E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sz="4" w:space="0" w:color="auto"/>
            </w:tcBorders>
            <w:vAlign w:val="center"/>
          </w:tcPr>
          <w:p w:rsidR="00256355" w:rsidRDefault="00256355" w:rsidP="002C2E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国有资本经营预算</w:t>
            </w:r>
          </w:p>
        </w:tc>
      </w:tr>
      <w:tr w:rsidR="00256355" w:rsidTr="00256355">
        <w:trPr>
          <w:cantSplit/>
          <w:trHeight w:val="431"/>
        </w:trPr>
        <w:tc>
          <w:tcPr>
            <w:tcW w:w="5359" w:type="dxa"/>
            <w:vAlign w:val="center"/>
          </w:tcPr>
          <w:p w:rsidR="00256355" w:rsidRDefault="00256355" w:rsidP="002C2E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 w:rsidR="00256355" w:rsidRDefault="00256355" w:rsidP="002C2E0A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 w:rsidRPr="006741AD">
              <w:rPr>
                <w:rFonts w:ascii="宋体" w:hAnsi="宋体"/>
                <w:color w:val="000000"/>
                <w:sz w:val="18"/>
                <w:szCs w:val="18"/>
              </w:rPr>
              <w:t>6.16</w:t>
            </w:r>
          </w:p>
        </w:tc>
        <w:tc>
          <w:tcPr>
            <w:tcW w:w="2204" w:type="dxa"/>
            <w:vAlign w:val="center"/>
          </w:tcPr>
          <w:p w:rsidR="00256355" w:rsidRDefault="00256355" w:rsidP="002C2E0A">
            <w:pPr>
              <w:jc w:val="right"/>
              <w:rPr>
                <w:sz w:val="18"/>
                <w:szCs w:val="18"/>
              </w:rPr>
            </w:pPr>
            <w:r w:rsidRPr="006741AD">
              <w:rPr>
                <w:rFonts w:ascii="宋体" w:hAnsi="宋体"/>
                <w:color w:val="000000"/>
                <w:sz w:val="18"/>
                <w:szCs w:val="18"/>
              </w:rPr>
              <w:t>6.16</w:t>
            </w:r>
          </w:p>
        </w:tc>
        <w:tc>
          <w:tcPr>
            <w:tcW w:w="2204" w:type="dxa"/>
            <w:vAlign w:val="center"/>
          </w:tcPr>
          <w:p w:rsidR="00256355" w:rsidRDefault="00256355" w:rsidP="002C2E0A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256355" w:rsidRDefault="00256355" w:rsidP="002C2E0A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256355" w:rsidTr="00256355">
        <w:trPr>
          <w:cantSplit/>
          <w:trHeight w:val="431"/>
        </w:trPr>
        <w:tc>
          <w:tcPr>
            <w:tcW w:w="5359" w:type="dxa"/>
            <w:vAlign w:val="center"/>
          </w:tcPr>
          <w:p w:rsidR="00256355" w:rsidRDefault="00256355" w:rsidP="002C2E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 w:rsidR="00256355" w:rsidRDefault="00256355" w:rsidP="002C2E0A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2204" w:type="dxa"/>
            <w:vAlign w:val="center"/>
          </w:tcPr>
          <w:p w:rsidR="00256355" w:rsidRDefault="00256355" w:rsidP="002C2E0A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2204" w:type="dxa"/>
            <w:vAlign w:val="center"/>
          </w:tcPr>
          <w:p w:rsidR="00256355" w:rsidRDefault="00256355" w:rsidP="002C2E0A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256355" w:rsidRDefault="00256355" w:rsidP="002C2E0A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256355" w:rsidTr="00256355">
        <w:trPr>
          <w:cantSplit/>
          <w:trHeight w:val="431"/>
        </w:trPr>
        <w:tc>
          <w:tcPr>
            <w:tcW w:w="5359" w:type="dxa"/>
            <w:vAlign w:val="center"/>
          </w:tcPr>
          <w:p w:rsidR="00256355" w:rsidRDefault="00256355" w:rsidP="002C2E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 w:rsidR="00256355" w:rsidRDefault="00256355" w:rsidP="002C2E0A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256355" w:rsidRDefault="00256355" w:rsidP="002C2E0A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256355" w:rsidRDefault="00256355" w:rsidP="002C2E0A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256355" w:rsidRDefault="00256355" w:rsidP="002C2E0A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256355" w:rsidTr="00256355">
        <w:trPr>
          <w:cantSplit/>
          <w:trHeight w:val="431"/>
        </w:trPr>
        <w:tc>
          <w:tcPr>
            <w:tcW w:w="5359" w:type="dxa"/>
            <w:vAlign w:val="center"/>
          </w:tcPr>
          <w:p w:rsidR="00256355" w:rsidRDefault="00256355" w:rsidP="002C2E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 w:rsidR="00256355" w:rsidRDefault="00256355" w:rsidP="002C2E0A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2204" w:type="dxa"/>
            <w:vAlign w:val="center"/>
          </w:tcPr>
          <w:p w:rsidR="00256355" w:rsidRDefault="00256355" w:rsidP="002C2E0A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2204" w:type="dxa"/>
            <w:vAlign w:val="center"/>
          </w:tcPr>
          <w:p w:rsidR="00256355" w:rsidRDefault="00256355" w:rsidP="002C2E0A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256355" w:rsidRDefault="00256355" w:rsidP="002C2E0A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256355" w:rsidTr="00256355">
        <w:trPr>
          <w:cantSplit/>
          <w:trHeight w:val="431"/>
        </w:trPr>
        <w:tc>
          <w:tcPr>
            <w:tcW w:w="5359" w:type="dxa"/>
            <w:vAlign w:val="center"/>
          </w:tcPr>
          <w:p w:rsidR="00256355" w:rsidRDefault="00256355" w:rsidP="002C2E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 w:rsidR="00256355" w:rsidRDefault="00256355" w:rsidP="002C2E0A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256355" w:rsidRDefault="00256355" w:rsidP="002C2E0A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256355" w:rsidRDefault="00256355" w:rsidP="002C2E0A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256355" w:rsidRDefault="00256355" w:rsidP="002C2E0A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256355" w:rsidTr="00256355">
        <w:trPr>
          <w:cantSplit/>
          <w:trHeight w:val="431"/>
        </w:trPr>
        <w:tc>
          <w:tcPr>
            <w:tcW w:w="5359" w:type="dxa"/>
            <w:vAlign w:val="center"/>
          </w:tcPr>
          <w:p w:rsidR="00256355" w:rsidRDefault="00256355" w:rsidP="002C2E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 w:rsidR="00256355" w:rsidRDefault="00256355" w:rsidP="002C2E0A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2204" w:type="dxa"/>
            <w:vAlign w:val="center"/>
          </w:tcPr>
          <w:p w:rsidR="00256355" w:rsidRDefault="00256355" w:rsidP="002C2E0A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2204" w:type="dxa"/>
            <w:vAlign w:val="center"/>
          </w:tcPr>
          <w:p w:rsidR="00256355" w:rsidRDefault="00256355" w:rsidP="002C2E0A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256355" w:rsidRDefault="00256355" w:rsidP="002C2E0A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256355" w:rsidTr="00256355">
        <w:trPr>
          <w:cantSplit/>
          <w:trHeight w:val="431"/>
        </w:trPr>
        <w:tc>
          <w:tcPr>
            <w:tcW w:w="5359" w:type="dxa"/>
            <w:vAlign w:val="center"/>
          </w:tcPr>
          <w:p w:rsidR="00256355" w:rsidRDefault="00256355" w:rsidP="002C2E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 w:rsidR="00256355" w:rsidRDefault="00256355" w:rsidP="002C2E0A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2204" w:type="dxa"/>
            <w:vAlign w:val="center"/>
          </w:tcPr>
          <w:p w:rsidR="00256355" w:rsidRDefault="00256355" w:rsidP="002C2E0A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2204" w:type="dxa"/>
            <w:vAlign w:val="center"/>
          </w:tcPr>
          <w:p w:rsidR="00256355" w:rsidRDefault="00256355" w:rsidP="002C2E0A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256355" w:rsidRDefault="00256355" w:rsidP="002C2E0A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</w:tbl>
    <w:p w:rsidR="00256355" w:rsidRDefault="00256355" w:rsidP="00256355">
      <w:pPr>
        <w:sectPr w:rsidR="00256355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注：</w:t>
      </w:r>
      <w:bookmarkStart w:id="1" w:name="PO_part1remark7"/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无 </w:t>
      </w:r>
      <w:bookmarkEnd w:id="1"/>
    </w:p>
    <w:p w:rsidR="00256355" w:rsidRPr="00256355" w:rsidRDefault="00256355" w:rsidP="00256355">
      <w:pPr>
        <w:ind w:firstLineChars="200" w:firstLine="600"/>
        <w:rPr>
          <w:rFonts w:hint="eastAsia"/>
        </w:rPr>
      </w:pPr>
      <w:bookmarkStart w:id="2" w:name="PO_part3A2Year1"/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2022</w:t>
      </w:r>
      <w:r>
        <w:rPr>
          <w:rFonts w:ascii="仿宋_GB2312" w:eastAsia="仿宋_GB2312" w:hAnsi="仿宋_GB2312" w:cs="仿宋_GB2312"/>
          <w:sz w:val="11"/>
          <w:szCs w:val="11"/>
        </w:rPr>
        <w:t xml:space="preserve"> </w:t>
      </w:r>
      <w:bookmarkEnd w:id="2"/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年本部门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财政拨款安排“三公”经费</w:t>
      </w:r>
      <w:bookmarkStart w:id="3" w:name="PO_part3A2Amount1"/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/>
          <w:sz w:val="11"/>
          <w:szCs w:val="11"/>
        </w:rPr>
        <w:t xml:space="preserve"> </w:t>
      </w:r>
      <w:bookmarkEnd w:id="3"/>
      <w:r>
        <w:rPr>
          <w:rFonts w:ascii="仿宋_GB2312" w:eastAsia="仿宋_GB2312" w:hAnsi="仿宋_GB2312" w:cs="仿宋_GB2312" w:hint="eastAsia"/>
          <w:sz w:val="30"/>
          <w:szCs w:val="30"/>
        </w:rPr>
        <w:t>万元，比上年</w:t>
      </w:r>
      <w:bookmarkStart w:id="4" w:name="PO_part3A2IncAmount1"/>
      <w:r>
        <w:rPr>
          <w:rFonts w:ascii="仿宋_GB2312" w:eastAsia="仿宋_GB2312" w:hAnsi="仿宋_GB2312" w:cs="仿宋_GB2312" w:hint="eastAsia"/>
          <w:sz w:val="30"/>
          <w:szCs w:val="30"/>
        </w:rPr>
        <w:t>增加0</w:t>
      </w:r>
      <w:r>
        <w:rPr>
          <w:rFonts w:ascii="仿宋_GB2312" w:eastAsia="仿宋_GB2312" w:hAnsi="仿宋_GB2312" w:cs="仿宋_GB2312"/>
          <w:sz w:val="11"/>
          <w:szCs w:val="11"/>
        </w:rPr>
        <w:t xml:space="preserve"> </w:t>
      </w:r>
      <w:bookmarkEnd w:id="4"/>
      <w:r>
        <w:rPr>
          <w:rFonts w:ascii="仿宋_GB2312" w:eastAsia="仿宋_GB2312" w:hAnsi="仿宋_GB2312" w:cs="仿宋_GB2312" w:hint="eastAsia"/>
          <w:sz w:val="30"/>
          <w:szCs w:val="30"/>
        </w:rPr>
        <w:t>万元，</w:t>
      </w:r>
      <w:bookmarkStart w:id="5" w:name="PO_part3A2IncPercent1"/>
      <w:r>
        <w:rPr>
          <w:rFonts w:ascii="仿宋_GB2312" w:eastAsia="仿宋_GB2312" w:hAnsi="仿宋_GB2312" w:cs="仿宋_GB2312" w:hint="eastAsia"/>
          <w:sz w:val="30"/>
          <w:szCs w:val="30"/>
        </w:rPr>
        <w:t>增长0</w:t>
      </w:r>
      <w:r>
        <w:rPr>
          <w:rFonts w:ascii="仿宋_GB2312" w:eastAsia="仿宋_GB2312" w:hAnsi="仿宋_GB2312" w:cs="仿宋_GB2312"/>
          <w:sz w:val="11"/>
          <w:szCs w:val="11"/>
        </w:rPr>
        <w:t xml:space="preserve"> </w:t>
      </w:r>
      <w:bookmarkEnd w:id="5"/>
      <w:r>
        <w:rPr>
          <w:rFonts w:ascii="仿宋_GB2312" w:eastAsia="仿宋_GB2312" w:hAnsi="仿宋_GB2312" w:cs="仿宋_GB2312" w:hint="eastAsia"/>
          <w:sz w:val="30"/>
          <w:szCs w:val="30"/>
        </w:rPr>
        <w:t>%，主要原因是</w:t>
      </w:r>
      <w:bookmarkStart w:id="6" w:name="PO_part3A2IncReason1"/>
      <w:r>
        <w:rPr>
          <w:rFonts w:ascii="仿宋_GB2312" w:eastAsia="仿宋_GB2312" w:hAnsi="仿宋_GB2312" w:cs="仿宋_GB2312" w:hint="eastAsia"/>
          <w:sz w:val="30"/>
          <w:szCs w:val="30"/>
        </w:rPr>
        <w:t>与上年持平，无增减变化</w:t>
      </w:r>
      <w:r>
        <w:rPr>
          <w:rFonts w:ascii="仿宋_GB2312" w:eastAsia="仿宋_GB2312" w:hAnsi="仿宋_GB2312" w:cs="仿宋_GB2312"/>
          <w:sz w:val="11"/>
          <w:szCs w:val="11"/>
        </w:rPr>
        <w:t xml:space="preserve"> </w:t>
      </w:r>
      <w:bookmarkEnd w:id="6"/>
      <w:r>
        <w:rPr>
          <w:rFonts w:ascii="仿宋_GB2312" w:eastAsia="仿宋_GB2312" w:hAnsi="仿宋_GB2312" w:cs="仿宋_GB2312" w:hint="eastAsia"/>
          <w:sz w:val="30"/>
          <w:szCs w:val="30"/>
        </w:rPr>
        <w:t>。其中：因公出国（境）费</w:t>
      </w:r>
      <w:bookmarkStart w:id="7" w:name="PO_part3A2Amount2"/>
      <w:r>
        <w:rPr>
          <w:rFonts w:ascii="仿宋_GB2312" w:eastAsia="仿宋_GB2312" w:hAnsi="仿宋_GB2312" w:cs="仿宋_GB2312" w:hint="eastAsia"/>
          <w:sz w:val="30"/>
          <w:szCs w:val="30"/>
        </w:rPr>
        <w:t>0</w:t>
      </w:r>
      <w:r>
        <w:rPr>
          <w:rFonts w:ascii="仿宋_GB2312" w:eastAsia="仿宋_GB2312" w:hAnsi="仿宋_GB2312" w:cs="仿宋_GB2312"/>
          <w:sz w:val="11"/>
          <w:szCs w:val="11"/>
        </w:rPr>
        <w:t xml:space="preserve"> </w:t>
      </w:r>
      <w:bookmarkEnd w:id="7"/>
      <w:r>
        <w:rPr>
          <w:rFonts w:ascii="仿宋_GB2312" w:eastAsia="仿宋_GB2312" w:hAnsi="仿宋_GB2312" w:cs="仿宋_GB2312" w:hint="eastAsia"/>
          <w:sz w:val="30"/>
          <w:szCs w:val="30"/>
        </w:rPr>
        <w:t>万元，比上年</w:t>
      </w:r>
      <w:bookmarkStart w:id="8" w:name="PO_part3A2IncAmount2"/>
      <w:r>
        <w:rPr>
          <w:rFonts w:ascii="仿宋_GB2312" w:eastAsia="仿宋_GB2312" w:hAnsi="仿宋_GB2312" w:cs="仿宋_GB2312" w:hint="eastAsia"/>
          <w:sz w:val="30"/>
          <w:szCs w:val="30"/>
        </w:rPr>
        <w:t>增加0</w:t>
      </w:r>
      <w:r>
        <w:rPr>
          <w:rFonts w:ascii="仿宋_GB2312" w:eastAsia="仿宋_GB2312" w:hAnsi="仿宋_GB2312" w:cs="仿宋_GB2312"/>
          <w:sz w:val="11"/>
          <w:szCs w:val="11"/>
        </w:rPr>
        <w:t xml:space="preserve"> </w:t>
      </w:r>
      <w:bookmarkEnd w:id="8"/>
      <w:r>
        <w:rPr>
          <w:rFonts w:ascii="仿宋_GB2312" w:eastAsia="仿宋_GB2312" w:hAnsi="仿宋_GB2312" w:cs="仿宋_GB2312" w:hint="eastAsia"/>
          <w:sz w:val="30"/>
          <w:szCs w:val="30"/>
        </w:rPr>
        <w:t>万元，</w:t>
      </w:r>
      <w:bookmarkStart w:id="9" w:name="PO_part3A2IncPercent2"/>
      <w:r>
        <w:rPr>
          <w:rFonts w:ascii="仿宋_GB2312" w:eastAsia="仿宋_GB2312" w:hAnsi="仿宋_GB2312" w:cs="仿宋_GB2312" w:hint="eastAsia"/>
          <w:sz w:val="30"/>
          <w:szCs w:val="30"/>
        </w:rPr>
        <w:t>增长0</w:t>
      </w:r>
      <w:r>
        <w:rPr>
          <w:rFonts w:ascii="仿宋_GB2312" w:eastAsia="仿宋_GB2312" w:hAnsi="仿宋_GB2312" w:cs="仿宋_GB2312"/>
          <w:sz w:val="11"/>
          <w:szCs w:val="11"/>
        </w:rPr>
        <w:t xml:space="preserve"> </w:t>
      </w:r>
      <w:bookmarkEnd w:id="9"/>
      <w:r>
        <w:rPr>
          <w:rFonts w:ascii="仿宋_GB2312" w:eastAsia="仿宋_GB2312" w:hAnsi="仿宋_GB2312" w:cs="仿宋_GB2312" w:hint="eastAsia"/>
          <w:sz w:val="30"/>
          <w:szCs w:val="30"/>
        </w:rPr>
        <w:t>%，主要原因是</w:t>
      </w:r>
      <w:bookmarkStart w:id="10" w:name="PO_part3A2IncReason2"/>
      <w:r>
        <w:rPr>
          <w:rFonts w:ascii="仿宋_GB2312" w:eastAsia="仿宋_GB2312" w:hAnsi="仿宋_GB2312" w:cs="仿宋_GB2312" w:hint="eastAsia"/>
          <w:sz w:val="30"/>
          <w:szCs w:val="30"/>
        </w:rPr>
        <w:t>与上年持平，无增减变化</w:t>
      </w:r>
      <w:r>
        <w:rPr>
          <w:rFonts w:ascii="仿宋_GB2312" w:eastAsia="仿宋_GB2312" w:hAnsi="仿宋_GB2312" w:cs="仿宋_GB2312" w:hint="eastAsia"/>
          <w:sz w:val="11"/>
          <w:szCs w:val="11"/>
        </w:rPr>
        <w:t xml:space="preserve"> </w:t>
      </w:r>
      <w:bookmarkEnd w:id="10"/>
      <w:r>
        <w:rPr>
          <w:rFonts w:ascii="仿宋_GB2312" w:eastAsia="仿宋_GB2312" w:hAnsi="仿宋_GB2312" w:cs="仿宋_GB2312" w:hint="eastAsia"/>
          <w:sz w:val="30"/>
          <w:szCs w:val="30"/>
        </w:rPr>
        <w:t>；公务用车购置及运行费</w:t>
      </w:r>
      <w:bookmarkStart w:id="11" w:name="PO_part3A2Amount3"/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/>
          <w:sz w:val="11"/>
          <w:szCs w:val="11"/>
        </w:rPr>
        <w:t xml:space="preserve"> </w:t>
      </w:r>
      <w:bookmarkEnd w:id="11"/>
      <w:r>
        <w:rPr>
          <w:rFonts w:ascii="仿宋_GB2312" w:eastAsia="仿宋_GB2312" w:hAnsi="仿宋_GB2312" w:cs="仿宋_GB2312" w:hint="eastAsia"/>
          <w:sz w:val="30"/>
          <w:szCs w:val="30"/>
        </w:rPr>
        <w:t>万元（公务用车购置费</w:t>
      </w:r>
      <w:bookmarkStart w:id="12" w:name="PO_part3A2Amount4"/>
      <w:r>
        <w:rPr>
          <w:rFonts w:ascii="仿宋_GB2312" w:eastAsia="仿宋_GB2312" w:hAnsi="仿宋_GB2312" w:cs="仿宋_GB2312" w:hint="eastAsia"/>
          <w:sz w:val="30"/>
          <w:szCs w:val="30"/>
        </w:rPr>
        <w:t>0</w:t>
      </w:r>
      <w:r>
        <w:rPr>
          <w:rFonts w:ascii="仿宋_GB2312" w:eastAsia="仿宋_GB2312" w:hAnsi="仿宋_GB2312" w:cs="仿宋_GB2312"/>
          <w:sz w:val="11"/>
          <w:szCs w:val="11"/>
        </w:rPr>
        <w:t xml:space="preserve"> </w:t>
      </w:r>
      <w:bookmarkEnd w:id="12"/>
      <w:r>
        <w:rPr>
          <w:rFonts w:ascii="仿宋_GB2312" w:eastAsia="仿宋_GB2312" w:hAnsi="仿宋_GB2312" w:cs="仿宋_GB2312" w:hint="eastAsia"/>
          <w:sz w:val="30"/>
          <w:szCs w:val="30"/>
        </w:rPr>
        <w:t>万元，比上年</w:t>
      </w:r>
      <w:bookmarkStart w:id="13" w:name="PO_part3A2IncAmount5"/>
      <w:r>
        <w:rPr>
          <w:rFonts w:ascii="仿宋_GB2312" w:eastAsia="仿宋_GB2312" w:hAnsi="仿宋_GB2312" w:cs="仿宋_GB2312" w:hint="eastAsia"/>
          <w:sz w:val="30"/>
          <w:szCs w:val="30"/>
        </w:rPr>
        <w:t>增加0</w:t>
      </w:r>
      <w:r>
        <w:rPr>
          <w:rFonts w:ascii="仿宋_GB2312" w:eastAsia="仿宋_GB2312" w:hAnsi="仿宋_GB2312" w:cs="仿宋_GB2312" w:hint="eastAsia"/>
          <w:sz w:val="11"/>
          <w:szCs w:val="11"/>
        </w:rPr>
        <w:t xml:space="preserve"> </w:t>
      </w:r>
      <w:bookmarkEnd w:id="13"/>
      <w:r>
        <w:rPr>
          <w:rFonts w:ascii="仿宋_GB2312" w:eastAsia="仿宋_GB2312" w:hAnsi="仿宋_GB2312" w:cs="仿宋_GB2312" w:hint="eastAsia"/>
          <w:sz w:val="30"/>
          <w:szCs w:val="30"/>
        </w:rPr>
        <w:t>万元</w:t>
      </w:r>
      <w:r>
        <w:rPr>
          <w:rFonts w:ascii="仿宋_GB2312" w:eastAsia="仿宋_GB2312" w:hAnsi="宋体" w:cs="宋体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0"/>
          <w:szCs w:val="30"/>
        </w:rPr>
        <w:t>公务用车运行维护费</w:t>
      </w:r>
      <w:bookmarkStart w:id="14" w:name="PO_part3A2Amount5"/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/>
          <w:sz w:val="11"/>
          <w:szCs w:val="11"/>
        </w:rPr>
        <w:t xml:space="preserve"> </w:t>
      </w:r>
      <w:bookmarkEnd w:id="14"/>
      <w:r>
        <w:rPr>
          <w:rFonts w:ascii="仿宋_GB2312" w:eastAsia="仿宋_GB2312" w:hAnsi="仿宋_GB2312" w:cs="仿宋_GB2312" w:hint="eastAsia"/>
          <w:sz w:val="30"/>
          <w:szCs w:val="30"/>
        </w:rPr>
        <w:t>万元，比上年</w:t>
      </w:r>
      <w:bookmarkStart w:id="15" w:name="PO_part3A2IncAmount6"/>
      <w:r>
        <w:rPr>
          <w:rFonts w:ascii="仿宋_GB2312" w:eastAsia="仿宋_GB2312" w:hAnsi="仿宋_GB2312" w:cs="仿宋_GB2312" w:hint="eastAsia"/>
          <w:sz w:val="30"/>
          <w:szCs w:val="30"/>
        </w:rPr>
        <w:t>增加0</w:t>
      </w:r>
      <w:r>
        <w:rPr>
          <w:rFonts w:ascii="仿宋_GB2312" w:eastAsia="仿宋_GB2312" w:hAnsi="仿宋_GB2312" w:cs="仿宋_GB2312" w:hint="eastAsia"/>
          <w:sz w:val="11"/>
          <w:szCs w:val="11"/>
        </w:rPr>
        <w:t xml:space="preserve"> </w:t>
      </w:r>
      <w:bookmarkEnd w:id="15"/>
      <w:r>
        <w:rPr>
          <w:rFonts w:ascii="仿宋_GB2312" w:eastAsia="仿宋_GB2312" w:hAnsi="仿宋_GB2312" w:cs="仿宋_GB2312" w:hint="eastAsia"/>
          <w:sz w:val="30"/>
          <w:szCs w:val="30"/>
        </w:rPr>
        <w:t>万元。）比上年</w:t>
      </w:r>
      <w:bookmarkStart w:id="16" w:name="PO_part3A2IncAmount3"/>
      <w:r>
        <w:rPr>
          <w:rFonts w:ascii="仿宋_GB2312" w:eastAsia="仿宋_GB2312" w:hAnsi="仿宋_GB2312" w:cs="仿宋_GB2312" w:hint="eastAsia"/>
          <w:sz w:val="30"/>
          <w:szCs w:val="30"/>
        </w:rPr>
        <w:t>增加0</w:t>
      </w:r>
      <w:r>
        <w:rPr>
          <w:rFonts w:ascii="仿宋_GB2312" w:eastAsia="仿宋_GB2312" w:hAnsi="仿宋_GB2312" w:cs="仿宋_GB2312"/>
          <w:sz w:val="11"/>
          <w:szCs w:val="11"/>
        </w:rPr>
        <w:t xml:space="preserve"> </w:t>
      </w:r>
      <w:bookmarkEnd w:id="16"/>
      <w:r>
        <w:rPr>
          <w:rFonts w:ascii="仿宋_GB2312" w:eastAsia="仿宋_GB2312" w:hAnsi="仿宋_GB2312" w:cs="仿宋_GB2312" w:hint="eastAsia"/>
          <w:sz w:val="30"/>
          <w:szCs w:val="30"/>
        </w:rPr>
        <w:t>万元，</w:t>
      </w:r>
      <w:bookmarkStart w:id="17" w:name="PO_part3A2IncPercent3"/>
      <w:r>
        <w:rPr>
          <w:rFonts w:ascii="仿宋_GB2312" w:eastAsia="仿宋_GB2312" w:hAnsi="仿宋_GB2312" w:cs="仿宋_GB2312" w:hint="eastAsia"/>
          <w:sz w:val="30"/>
          <w:szCs w:val="30"/>
        </w:rPr>
        <w:t>增长0</w:t>
      </w:r>
      <w:r>
        <w:rPr>
          <w:rFonts w:ascii="仿宋_GB2312" w:eastAsia="仿宋_GB2312" w:hAnsi="仿宋_GB2312" w:cs="仿宋_GB2312"/>
          <w:sz w:val="11"/>
          <w:szCs w:val="11"/>
        </w:rPr>
        <w:t xml:space="preserve"> </w:t>
      </w:r>
      <w:bookmarkEnd w:id="17"/>
      <w:r>
        <w:rPr>
          <w:rFonts w:ascii="仿宋_GB2312" w:eastAsia="仿宋_GB2312" w:hAnsi="仿宋_GB2312" w:cs="仿宋_GB2312" w:hint="eastAsia"/>
          <w:sz w:val="30"/>
          <w:szCs w:val="30"/>
        </w:rPr>
        <w:t>%，主要原因是</w:t>
      </w:r>
      <w:bookmarkStart w:id="18" w:name="PO_part3A2IncReason3"/>
      <w:r>
        <w:rPr>
          <w:rFonts w:ascii="仿宋_GB2312" w:eastAsia="仿宋_GB2312" w:hAnsi="仿宋_GB2312" w:cs="仿宋_GB2312" w:hint="eastAsia"/>
          <w:sz w:val="30"/>
          <w:szCs w:val="30"/>
        </w:rPr>
        <w:t>与上年持平，无增减变化</w:t>
      </w:r>
      <w:r>
        <w:rPr>
          <w:rFonts w:ascii="仿宋_GB2312" w:eastAsia="仿宋_GB2312" w:hAnsi="仿宋_GB2312" w:cs="仿宋_GB2312" w:hint="eastAsia"/>
          <w:sz w:val="11"/>
          <w:szCs w:val="11"/>
        </w:rPr>
        <w:t xml:space="preserve"> </w:t>
      </w:r>
      <w:bookmarkEnd w:id="18"/>
      <w:r>
        <w:rPr>
          <w:rFonts w:ascii="仿宋_GB2312" w:eastAsia="仿宋_GB2312" w:hAnsi="仿宋_GB2312" w:cs="仿宋_GB2312" w:hint="eastAsia"/>
          <w:sz w:val="30"/>
          <w:szCs w:val="30"/>
        </w:rPr>
        <w:t>；公务接待费</w:t>
      </w:r>
      <w:bookmarkStart w:id="19" w:name="PO_part3A2Amount6"/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/>
          <w:sz w:val="11"/>
          <w:szCs w:val="11"/>
        </w:rPr>
        <w:t xml:space="preserve"> </w:t>
      </w:r>
      <w:bookmarkEnd w:id="19"/>
      <w:r>
        <w:rPr>
          <w:rFonts w:ascii="仿宋_GB2312" w:eastAsia="仿宋_GB2312" w:hAnsi="仿宋_GB2312" w:cs="仿宋_GB2312" w:hint="eastAsia"/>
          <w:sz w:val="30"/>
          <w:szCs w:val="30"/>
        </w:rPr>
        <w:t>万元，比上年</w:t>
      </w:r>
      <w:bookmarkStart w:id="20" w:name="PO_part3A2IncAmount4"/>
      <w:r>
        <w:rPr>
          <w:rFonts w:ascii="仿宋_GB2312" w:eastAsia="仿宋_GB2312" w:hAnsi="仿宋_GB2312" w:cs="仿宋_GB2312" w:hint="eastAsia"/>
          <w:sz w:val="30"/>
          <w:szCs w:val="30"/>
        </w:rPr>
        <w:t>增加0</w:t>
      </w:r>
      <w:r>
        <w:rPr>
          <w:rFonts w:ascii="仿宋_GB2312" w:eastAsia="仿宋_GB2312" w:hAnsi="仿宋_GB2312" w:cs="仿宋_GB2312"/>
          <w:sz w:val="11"/>
          <w:szCs w:val="11"/>
        </w:rPr>
        <w:t xml:space="preserve"> </w:t>
      </w:r>
      <w:bookmarkEnd w:id="20"/>
      <w:r>
        <w:rPr>
          <w:rFonts w:ascii="仿宋_GB2312" w:eastAsia="仿宋_GB2312" w:hAnsi="仿宋_GB2312" w:cs="仿宋_GB2312" w:hint="eastAsia"/>
          <w:sz w:val="30"/>
          <w:szCs w:val="30"/>
        </w:rPr>
        <w:t>万元，</w:t>
      </w:r>
      <w:bookmarkStart w:id="21" w:name="PO_part3A2IncPercent4"/>
      <w:r>
        <w:rPr>
          <w:rFonts w:ascii="仿宋_GB2312" w:eastAsia="仿宋_GB2312" w:hAnsi="仿宋_GB2312" w:cs="仿宋_GB2312" w:hint="eastAsia"/>
          <w:sz w:val="30"/>
          <w:szCs w:val="30"/>
        </w:rPr>
        <w:t>增长0</w:t>
      </w:r>
      <w:r>
        <w:rPr>
          <w:rFonts w:ascii="仿宋_GB2312" w:eastAsia="仿宋_GB2312" w:hAnsi="仿宋_GB2312" w:cs="仿宋_GB2312"/>
          <w:sz w:val="11"/>
          <w:szCs w:val="11"/>
        </w:rPr>
        <w:t xml:space="preserve"> </w:t>
      </w:r>
      <w:bookmarkEnd w:id="21"/>
      <w:r>
        <w:rPr>
          <w:rFonts w:ascii="仿宋_GB2312" w:eastAsia="仿宋_GB2312" w:hAnsi="仿宋_GB2312" w:cs="仿宋_GB2312" w:hint="eastAsia"/>
          <w:sz w:val="30"/>
          <w:szCs w:val="30"/>
        </w:rPr>
        <w:t>%，主要原因是</w:t>
      </w:r>
      <w:bookmarkStart w:id="22" w:name="PO_part3A2IncReason4"/>
      <w:r>
        <w:rPr>
          <w:rFonts w:ascii="仿宋_GB2312" w:eastAsia="仿宋_GB2312" w:hAnsi="仿宋_GB2312" w:cs="仿宋_GB2312" w:hint="eastAsia"/>
          <w:sz w:val="30"/>
          <w:szCs w:val="30"/>
        </w:rPr>
        <w:t>与上年持平，无增减变化</w:t>
      </w:r>
      <w:r>
        <w:rPr>
          <w:rFonts w:ascii="仿宋_GB2312" w:eastAsia="仿宋_GB2312" w:hAnsi="仿宋_GB2312" w:cs="仿宋_GB2312" w:hint="eastAsia"/>
          <w:sz w:val="11"/>
          <w:szCs w:val="11"/>
        </w:rPr>
        <w:t xml:space="preserve"> </w:t>
      </w:r>
      <w:bookmarkEnd w:id="22"/>
      <w:r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sectPr w:rsidR="00256355" w:rsidRPr="00256355" w:rsidSect="002563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6355"/>
    <w:rsid w:val="00256355"/>
    <w:rsid w:val="00A43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8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635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PGOS</dc:creator>
  <cp:lastModifiedBy>PGOS</cp:lastModifiedBy>
  <cp:revision>1</cp:revision>
  <dcterms:created xsi:type="dcterms:W3CDTF">2022-04-26T02:39:00Z</dcterms:created>
  <dcterms:modified xsi:type="dcterms:W3CDTF">2022-04-26T02:44:00Z</dcterms:modified>
</cp:coreProperties>
</file>