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6A25E2">
      <w:pPr>
        <w:keepNext w:val="0"/>
        <w:keepLines w:val="0"/>
        <w:pageBreakBefore w:val="0"/>
        <w:widowControl w:val="0"/>
        <w:kinsoku/>
        <w:wordWrap/>
        <w:overflowPunct/>
        <w:topLinePunct w:val="0"/>
        <w:autoSpaceDE/>
        <w:autoSpaceDN/>
        <w:bidi w:val="0"/>
        <w:adjustRightInd w:val="0"/>
        <w:snapToGrid w:val="0"/>
        <w:spacing w:line="590" w:lineRule="exact"/>
        <w:textAlignment w:val="auto"/>
        <w:rPr>
          <w:rFonts w:ascii="楷体_GB2312" w:hAnsi="宋体" w:eastAsia="楷体_GB2312"/>
          <w:spacing w:val="38"/>
          <w:sz w:val="32"/>
          <w:szCs w:val="32"/>
        </w:rPr>
      </w:pPr>
      <w:r>
        <w:rPr>
          <w:rFonts w:hint="eastAsia" w:ascii="楷体_GB2312" w:hAnsi="宋体" w:eastAsia="楷体_GB2312"/>
          <w:spacing w:val="38"/>
          <w:sz w:val="32"/>
          <w:szCs w:val="32"/>
        </w:rPr>
        <w:t>镇十八届人大</w:t>
      </w:r>
    </w:p>
    <w:p w14:paraId="0C3C0D12">
      <w:pPr>
        <w:keepNext w:val="0"/>
        <w:keepLines w:val="0"/>
        <w:pageBreakBefore w:val="0"/>
        <w:widowControl w:val="0"/>
        <w:kinsoku/>
        <w:wordWrap/>
        <w:overflowPunct/>
        <w:topLinePunct w:val="0"/>
        <w:autoSpaceDE/>
        <w:autoSpaceDN/>
        <w:bidi w:val="0"/>
        <w:adjustRightInd w:val="0"/>
        <w:snapToGrid w:val="0"/>
        <w:spacing w:line="590" w:lineRule="exact"/>
        <w:ind w:firstLine="16" w:firstLineChars="6"/>
        <w:textAlignment w:val="auto"/>
        <w:rPr>
          <w:rFonts w:ascii="楷体_GB2312" w:hAnsi="宋体" w:eastAsia="楷体_GB2312"/>
          <w:spacing w:val="-20"/>
          <w:sz w:val="32"/>
          <w:szCs w:val="32"/>
        </w:rPr>
      </w:pPr>
      <w:r>
        <w:rPr>
          <w:rFonts w:hint="eastAsia" w:ascii="楷体_GB2312" w:hAnsi="宋体" w:eastAsia="楷体_GB2312"/>
          <w:spacing w:val="-20"/>
          <w:sz w:val="32"/>
          <w:szCs w:val="32"/>
          <w:lang w:val="en-US" w:eastAsia="zh-CN"/>
        </w:rPr>
        <w:t>八</w:t>
      </w:r>
      <w:r>
        <w:rPr>
          <w:rFonts w:hint="eastAsia" w:ascii="楷体_GB2312" w:hAnsi="宋体" w:eastAsia="楷体_GB2312"/>
          <w:spacing w:val="-20"/>
          <w:sz w:val="32"/>
          <w:szCs w:val="32"/>
        </w:rPr>
        <w:t>次会议文件(1)</w:t>
      </w:r>
    </w:p>
    <w:p w14:paraId="2007F79B">
      <w:pPr>
        <w:bidi w:val="0"/>
        <w:jc w:val="center"/>
        <w:rPr>
          <w:rFonts w:hint="eastAsia" w:ascii="方正小标宋简体" w:hAnsi="方正小标宋简体" w:eastAsia="方正小标宋简体" w:cs="方正小标宋简体"/>
          <w:sz w:val="44"/>
          <w:szCs w:val="44"/>
          <w:lang w:val="en-US" w:eastAsia="zh-CN"/>
        </w:rPr>
      </w:pPr>
    </w:p>
    <w:p w14:paraId="452268E5">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政府工作报告</w:t>
      </w:r>
    </w:p>
    <w:p w14:paraId="1D9A08D1">
      <w:pPr>
        <w:keepNext w:val="0"/>
        <w:keepLines w:val="0"/>
        <w:pageBreakBefore w:val="0"/>
        <w:widowControl w:val="0"/>
        <w:kinsoku/>
        <w:wordWrap/>
        <w:overflowPunct/>
        <w:topLinePunct w:val="0"/>
        <w:autoSpaceDE/>
        <w:autoSpaceDN/>
        <w:bidi w:val="0"/>
        <w:adjustRightInd/>
        <w:spacing w:line="590" w:lineRule="exact"/>
        <w:jc w:val="center"/>
        <w:textAlignment w:val="auto"/>
        <w:rPr>
          <w:rFonts w:ascii="宋体" w:hAnsi="宋体"/>
          <w:b/>
          <w:spacing w:val="60"/>
          <w:sz w:val="48"/>
          <w:szCs w:val="48"/>
        </w:rPr>
      </w:pPr>
    </w:p>
    <w:p w14:paraId="3950EE87">
      <w:pPr>
        <w:keepNext w:val="0"/>
        <w:keepLines w:val="0"/>
        <w:pageBreakBefore w:val="0"/>
        <w:widowControl w:val="0"/>
        <w:kinsoku/>
        <w:wordWrap/>
        <w:overflowPunct/>
        <w:topLinePunct w:val="0"/>
        <w:autoSpaceDE/>
        <w:autoSpaceDN/>
        <w:bidi w:val="0"/>
        <w:adjustRightInd/>
        <w:spacing w:line="590" w:lineRule="exact"/>
        <w:jc w:val="center"/>
        <w:textAlignment w:val="auto"/>
        <w:rPr>
          <w:rFonts w:ascii="楷体" w:hAnsi="楷体" w:eastAsia="楷体" w:cs="楷体"/>
          <w:sz w:val="32"/>
          <w:szCs w:val="32"/>
        </w:rPr>
      </w:pPr>
      <w:r>
        <w:rPr>
          <w:rFonts w:hint="eastAsia" w:ascii="楷体" w:hAnsi="楷体" w:eastAsia="楷体" w:cs="宋体"/>
          <w:kern w:val="0"/>
          <w:sz w:val="32"/>
          <w:szCs w:val="32"/>
        </w:rPr>
        <w:t>——</w:t>
      </w:r>
      <w:r>
        <w:rPr>
          <w:rFonts w:hint="eastAsia" w:ascii="楷体" w:hAnsi="楷体" w:eastAsia="楷体" w:cs="楷体"/>
          <w:sz w:val="32"/>
          <w:szCs w:val="32"/>
        </w:rPr>
        <w:t>202</w:t>
      </w:r>
      <w:r>
        <w:rPr>
          <w:rFonts w:hint="eastAsia" w:ascii="楷体" w:hAnsi="楷体" w:eastAsia="楷体" w:cs="楷体"/>
          <w:sz w:val="32"/>
          <w:szCs w:val="32"/>
          <w:lang w:val="en-US" w:eastAsia="zh-CN"/>
        </w:rPr>
        <w:t>5</w:t>
      </w:r>
      <w:r>
        <w:rPr>
          <w:rFonts w:hint="eastAsia" w:ascii="楷体" w:hAnsi="楷体" w:eastAsia="楷体" w:cs="楷体"/>
          <w:sz w:val="32"/>
          <w:szCs w:val="32"/>
        </w:rPr>
        <w:t>年</w:t>
      </w:r>
      <w:r>
        <w:rPr>
          <w:rFonts w:hint="eastAsia" w:ascii="楷体" w:hAnsi="楷体" w:eastAsia="楷体" w:cs="楷体"/>
          <w:sz w:val="32"/>
          <w:szCs w:val="32"/>
          <w:lang w:val="en-US" w:eastAsia="zh-CN"/>
        </w:rPr>
        <w:t>4</w:t>
      </w:r>
      <w:r>
        <w:rPr>
          <w:rFonts w:hint="eastAsia" w:ascii="楷体" w:hAnsi="楷体" w:eastAsia="楷体" w:cs="楷体"/>
          <w:sz w:val="32"/>
          <w:szCs w:val="32"/>
        </w:rPr>
        <w:t>月</w:t>
      </w:r>
      <w:r>
        <w:rPr>
          <w:rFonts w:hint="eastAsia" w:ascii="楷体" w:hAnsi="楷体" w:eastAsia="楷体" w:cs="楷体"/>
          <w:sz w:val="32"/>
          <w:szCs w:val="32"/>
          <w:lang w:val="en-US" w:eastAsia="zh-CN"/>
        </w:rPr>
        <w:t>25</w:t>
      </w:r>
      <w:r>
        <w:rPr>
          <w:rFonts w:hint="eastAsia" w:ascii="楷体" w:hAnsi="楷体" w:eastAsia="楷体" w:cs="楷体"/>
          <w:sz w:val="32"/>
          <w:szCs w:val="32"/>
        </w:rPr>
        <w:t>日在乌塘镇第十八届</w:t>
      </w:r>
    </w:p>
    <w:p w14:paraId="70DB7826">
      <w:pPr>
        <w:keepNext w:val="0"/>
        <w:keepLines w:val="0"/>
        <w:pageBreakBefore w:val="0"/>
        <w:widowControl w:val="0"/>
        <w:kinsoku/>
        <w:wordWrap/>
        <w:overflowPunct/>
        <w:topLinePunct w:val="0"/>
        <w:autoSpaceDE/>
        <w:autoSpaceDN/>
        <w:bidi w:val="0"/>
        <w:adjustRightInd/>
        <w:spacing w:line="590" w:lineRule="exact"/>
        <w:jc w:val="center"/>
        <w:textAlignment w:val="auto"/>
        <w:rPr>
          <w:rFonts w:ascii="楷体" w:hAnsi="楷体" w:eastAsia="楷体" w:cs="楷体"/>
          <w:sz w:val="32"/>
          <w:szCs w:val="32"/>
        </w:rPr>
      </w:pPr>
      <w:r>
        <w:rPr>
          <w:rFonts w:hint="eastAsia" w:ascii="楷体" w:hAnsi="楷体" w:eastAsia="楷体" w:cs="楷体"/>
          <w:sz w:val="32"/>
          <w:szCs w:val="32"/>
        </w:rPr>
        <w:t>人民代表大会第</w:t>
      </w:r>
      <w:r>
        <w:rPr>
          <w:rFonts w:hint="eastAsia" w:ascii="楷体" w:hAnsi="楷体" w:eastAsia="楷体" w:cs="楷体"/>
          <w:sz w:val="32"/>
          <w:szCs w:val="32"/>
          <w:lang w:val="en-US" w:eastAsia="zh-CN"/>
        </w:rPr>
        <w:t>八</w:t>
      </w:r>
      <w:r>
        <w:rPr>
          <w:rFonts w:hint="eastAsia" w:ascii="楷体" w:hAnsi="楷体" w:eastAsia="楷体" w:cs="楷体"/>
          <w:sz w:val="32"/>
          <w:szCs w:val="32"/>
        </w:rPr>
        <w:t>次会议上</w:t>
      </w:r>
    </w:p>
    <w:p w14:paraId="2E9D321B">
      <w:pPr>
        <w:keepNext w:val="0"/>
        <w:keepLines w:val="0"/>
        <w:pageBreakBefore w:val="0"/>
        <w:widowControl w:val="0"/>
        <w:kinsoku/>
        <w:wordWrap/>
        <w:overflowPunct/>
        <w:topLinePunct w:val="0"/>
        <w:autoSpaceDE/>
        <w:autoSpaceDN/>
        <w:bidi w:val="0"/>
        <w:adjustRightInd/>
        <w:spacing w:line="590" w:lineRule="exact"/>
        <w:ind w:firstLine="420" w:firstLineChars="200"/>
        <w:jc w:val="center"/>
        <w:textAlignment w:val="auto"/>
        <w:rPr>
          <w:rFonts w:ascii="楷体" w:hAnsi="楷体" w:eastAsia="楷体" w:cs="楷体"/>
        </w:rPr>
      </w:pPr>
    </w:p>
    <w:p w14:paraId="1E9DF45B">
      <w:pPr>
        <w:keepNext w:val="0"/>
        <w:keepLines w:val="0"/>
        <w:pageBreakBefore w:val="0"/>
        <w:widowControl w:val="0"/>
        <w:kinsoku/>
        <w:wordWrap/>
        <w:overflowPunct/>
        <w:topLinePunct w:val="0"/>
        <w:autoSpaceDE/>
        <w:autoSpaceDN/>
        <w:bidi w:val="0"/>
        <w:adjustRightInd/>
        <w:spacing w:line="590" w:lineRule="exact"/>
        <w:jc w:val="center"/>
        <w:textAlignment w:val="auto"/>
        <w:rPr>
          <w:rFonts w:hint="eastAsia" w:ascii="楷体_GB2312" w:hAnsi="楷体" w:eastAsia="楷体_GB2312" w:cs="宋体"/>
          <w:spacing w:val="16"/>
          <w:kern w:val="0"/>
          <w:sz w:val="32"/>
          <w:szCs w:val="32"/>
          <w:lang w:eastAsia="zh-CN"/>
        </w:rPr>
      </w:pPr>
      <w:r>
        <w:rPr>
          <w:rFonts w:hint="eastAsia" w:ascii="楷体_GB2312" w:hAnsi="楷体" w:eastAsia="楷体_GB2312" w:cs="宋体"/>
          <w:spacing w:val="16"/>
          <w:kern w:val="0"/>
          <w:sz w:val="32"/>
          <w:szCs w:val="32"/>
        </w:rPr>
        <w:t xml:space="preserve">乌塘镇人民政府镇长 </w:t>
      </w:r>
      <w:r>
        <w:rPr>
          <w:rFonts w:hint="eastAsia" w:ascii="楷体_GB2312" w:hAnsi="楷体" w:eastAsia="楷体_GB2312" w:cs="宋体"/>
          <w:spacing w:val="16"/>
          <w:kern w:val="0"/>
          <w:sz w:val="32"/>
          <w:szCs w:val="32"/>
          <w:lang w:eastAsia="zh-CN"/>
        </w:rPr>
        <w:t>吴垂超</w:t>
      </w:r>
    </w:p>
    <w:p w14:paraId="67FD328E">
      <w:pPr>
        <w:pStyle w:val="2"/>
        <w:keepNext w:val="0"/>
        <w:keepLines w:val="0"/>
        <w:pageBreakBefore w:val="0"/>
        <w:widowControl w:val="0"/>
        <w:kinsoku/>
        <w:wordWrap/>
        <w:overflowPunct/>
        <w:topLinePunct w:val="0"/>
        <w:autoSpaceDE/>
        <w:autoSpaceDN/>
        <w:bidi w:val="0"/>
        <w:adjustRightInd/>
        <w:spacing w:line="590" w:lineRule="exact"/>
        <w:textAlignment w:val="auto"/>
        <w:rPr>
          <w:rFonts w:hint="eastAsia" w:ascii="楷体_GB2312" w:hAnsi="楷体" w:eastAsia="楷体_GB2312" w:cs="宋体"/>
          <w:spacing w:val="16"/>
          <w:kern w:val="0"/>
          <w:sz w:val="32"/>
          <w:szCs w:val="32"/>
          <w:lang w:eastAsia="zh-CN"/>
        </w:rPr>
      </w:pPr>
    </w:p>
    <w:p w14:paraId="132C3767">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p>
    <w:p w14:paraId="7BBDD9C2">
      <w:pPr>
        <w:keepNext w:val="0"/>
        <w:keepLines w:val="0"/>
        <w:pageBreakBefore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各位代表：</w:t>
      </w:r>
    </w:p>
    <w:p w14:paraId="4FEDE8FB">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现在，我代表镇人民政府，向大会报告政府工作，请予审议，</w:t>
      </w:r>
      <w:r>
        <w:rPr>
          <w:rFonts w:hint="eastAsia" w:ascii="仿宋_GB2312" w:hAnsi="仿宋_GB2312" w:eastAsia="仿宋_GB2312" w:cs="仿宋_GB2312"/>
          <w:sz w:val="32"/>
          <w:szCs w:val="32"/>
        </w:rPr>
        <w:t>并请列席会议同志提出意见</w:t>
      </w:r>
      <w:r>
        <w:rPr>
          <w:rFonts w:hint="eastAsia" w:ascii="仿宋_GB2312" w:hAnsi="仿宋_GB2312" w:eastAsia="仿宋_GB2312" w:cs="仿宋_GB2312"/>
          <w:sz w:val="32"/>
          <w:szCs w:val="32"/>
          <w:lang w:eastAsia="zh-CN"/>
        </w:rPr>
        <w:t>。</w:t>
      </w:r>
    </w:p>
    <w:p w14:paraId="417616AE">
      <w:pPr>
        <w:keepNext w:val="0"/>
        <w:keepLines w:val="0"/>
        <w:pageBreakBefore w:val="0"/>
        <w:kinsoku/>
        <w:wordWrap/>
        <w:overflowPunct/>
        <w:topLinePunct w:val="0"/>
        <w:autoSpaceDE/>
        <w:autoSpaceDN/>
        <w:bidi w:val="0"/>
        <w:adjustRightInd/>
        <w:snapToGrid/>
        <w:spacing w:line="576" w:lineRule="exact"/>
        <w:ind w:firstLine="643" w:firstLineChars="200"/>
        <w:jc w:val="center"/>
        <w:textAlignment w:val="auto"/>
        <w:rPr>
          <w:rFonts w:hint="eastAsia" w:ascii="仿宋_GB2312" w:hAnsi="仿宋_GB2312" w:eastAsia="仿宋_GB2312" w:cs="仿宋_GB2312"/>
          <w:b/>
          <w:bCs/>
          <w:sz w:val="32"/>
          <w:szCs w:val="32"/>
          <w:lang w:val="en-US" w:eastAsia="zh-CN"/>
        </w:rPr>
      </w:pPr>
      <w:r>
        <w:rPr>
          <w:rFonts w:hint="eastAsia" w:ascii="黑体" w:hAnsi="黑体" w:eastAsia="黑体" w:cs="黑体"/>
          <w:b/>
          <w:bCs/>
          <w:sz w:val="32"/>
          <w:szCs w:val="32"/>
          <w:lang w:val="en-US" w:eastAsia="zh-CN"/>
        </w:rPr>
        <w:t>2024年工作回顾</w:t>
      </w:r>
    </w:p>
    <w:p w14:paraId="72CE9F00">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2024年是新中国成立75周年，是“百千万工程”全面起势的一年，也是乌塘镇迈入</w:t>
      </w:r>
      <w:r>
        <w:rPr>
          <w:rFonts w:hint="eastAsia" w:ascii="仿宋_GB2312" w:hAnsi="仿宋_GB2312" w:eastAsia="仿宋_GB2312" w:cs="仿宋_GB2312"/>
          <w:sz w:val="32"/>
          <w:szCs w:val="32"/>
        </w:rPr>
        <w:t>高质量发展阶段的重要一年。一年来，在</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政府和镇党委的坚强领导下，在镇人大的监督支持下，</w:t>
      </w:r>
      <w:r>
        <w:rPr>
          <w:rFonts w:hint="eastAsia" w:ascii="仿宋_GB2312" w:hAnsi="仿宋_GB2312" w:eastAsia="仿宋_GB2312" w:cs="仿宋_GB2312"/>
          <w:sz w:val="32"/>
          <w:szCs w:val="32"/>
          <w:lang w:val="en-US" w:eastAsia="zh-CN"/>
        </w:rPr>
        <w:t>我们坚持以习近平新时代中国特色社会主义思想为指导，深入贯彻党的二十大和二十届二中、三中全会精神，认真落实省委“1310”具体部署及省、市、县工作要求，扎实推进县委“1+3+6”行动计划，坚持稳中求进工作总基调，完整、准确、全面贯彻新发展理念，着力推动高质量发展，深入推进“百县千镇万村高质量发展工程”，</w:t>
      </w:r>
      <w:r>
        <w:rPr>
          <w:rFonts w:hint="eastAsia" w:ascii="仿宋_GB2312" w:hAnsi="仿宋_GB2312" w:eastAsia="仿宋_GB2312" w:cs="仿宋_GB2312"/>
          <w:sz w:val="32"/>
          <w:szCs w:val="32"/>
        </w:rPr>
        <w:t>全力以赴强经济</w:t>
      </w:r>
      <w:r>
        <w:rPr>
          <w:rFonts w:hint="eastAsia" w:ascii="仿宋_GB2312" w:hAnsi="仿宋_GB2312" w:eastAsia="仿宋_GB2312" w:cs="仿宋_GB2312"/>
          <w:sz w:val="32"/>
          <w:szCs w:val="32"/>
          <w:lang w:val="en-US" w:eastAsia="zh-CN"/>
        </w:rPr>
        <w:t>、聚民心、强福祉，全镇综合实力稳步提升，营商环境持续优化，</w:t>
      </w:r>
      <w:r>
        <w:rPr>
          <w:rFonts w:hint="eastAsia" w:ascii="仿宋_GB2312" w:hAnsi="仿宋_GB2312" w:eastAsia="仿宋_GB2312" w:cs="仿宋_GB2312"/>
          <w:sz w:val="32"/>
          <w:szCs w:val="32"/>
        </w:rPr>
        <w:t>城乡面貌焕发</w:t>
      </w:r>
      <w:r>
        <w:rPr>
          <w:rFonts w:hint="eastAsia" w:ascii="仿宋_GB2312" w:hAnsi="仿宋_GB2312" w:eastAsia="仿宋_GB2312" w:cs="仿宋_GB2312"/>
          <w:sz w:val="32"/>
          <w:szCs w:val="32"/>
          <w:lang w:val="en-US" w:eastAsia="zh-CN"/>
        </w:rPr>
        <w:t>新颜，民生福祉更加殷实。</w:t>
      </w:r>
    </w:p>
    <w:p w14:paraId="7D52D101">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过去的一年，我们应对了稳增长、促发展的压力，经济运行总体平稳、稳中有进。</w:t>
      </w:r>
      <w:r>
        <w:rPr>
          <w:rFonts w:hint="eastAsia" w:ascii="仿宋_GB2312" w:hAnsi="仿宋_GB2312" w:eastAsia="仿宋_GB2312" w:cs="仿宋_GB2312"/>
          <w:sz w:val="32"/>
          <w:szCs w:val="32"/>
          <w:lang w:val="en-US" w:eastAsia="zh-CN"/>
        </w:rPr>
        <w:t>面对经济下行压力不断加大的复杂严峻形势，我们迎难而上、顶压前行，努力克服经济下行和超预期因素影响，全年地区生产总值达到7.72亿元</w:t>
      </w:r>
      <w:bookmarkStart w:id="0" w:name="_GoBack"/>
      <w:bookmarkEnd w:id="0"/>
      <w:r>
        <w:rPr>
          <w:rFonts w:hint="eastAsia" w:ascii="仿宋_GB2312" w:hAnsi="仿宋_GB2312" w:eastAsia="仿宋_GB2312" w:cs="仿宋_GB2312"/>
          <w:sz w:val="32"/>
          <w:szCs w:val="32"/>
          <w:lang w:val="en-US" w:eastAsia="zh-CN"/>
        </w:rPr>
        <w:t>。经济向好的势头更加稳固。</w:t>
      </w:r>
    </w:p>
    <w:p w14:paraId="092B9D8D">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过去的一年，我们聚焦产业兴镇战略，推动特色农业产业链延链补链强链，为乡村振兴注入强劲动能。</w:t>
      </w:r>
      <w:r>
        <w:rPr>
          <w:rFonts w:hint="eastAsia" w:ascii="仿宋_GB2312" w:hAnsi="仿宋_GB2312" w:eastAsia="仿宋_GB2312" w:cs="仿宋_GB2312"/>
          <w:sz w:val="32"/>
          <w:szCs w:val="32"/>
          <w:lang w:val="en-US" w:eastAsia="zh-CN"/>
        </w:rPr>
        <w:t>荔枝产业实现跨越式发展，我们</w:t>
      </w:r>
      <w:r>
        <w:rPr>
          <w:rFonts w:hint="eastAsia" w:ascii="仿宋_GB2312" w:hAnsi="仿宋_GB2312" w:eastAsia="仿宋_GB2312" w:cs="仿宋_GB2312"/>
          <w:sz w:val="32"/>
          <w:szCs w:val="32"/>
        </w:rPr>
        <w:t>以品牌创建为切入口，活用“销售链”各界力量，强化“仙品荔”IP营销辐射作用，</w:t>
      </w:r>
      <w:r>
        <w:rPr>
          <w:rFonts w:hint="eastAsia" w:ascii="仿宋_GB2312" w:hAnsi="仿宋_GB2312" w:eastAsia="仿宋_GB2312" w:cs="仿宋_GB2312"/>
          <w:sz w:val="32"/>
          <w:szCs w:val="32"/>
          <w:lang w:val="en-US" w:eastAsia="zh-CN"/>
        </w:rPr>
        <w:t>核心产区湛川河谷的“仙品荔”品牌持续擦亮，推动“仙品荔”走向全国市场。2024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共举办征文比赛、健步走、开园仪式、湾区快闪秀等四场活动，截止6月中旬，荔枝全部销售完毕，</w:t>
      </w:r>
      <w:r>
        <w:rPr>
          <w:rFonts w:hint="eastAsia" w:ascii="仿宋_GB2312" w:hAnsi="仿宋_GB2312" w:eastAsia="仿宋_GB2312" w:cs="仿宋_GB2312"/>
          <w:sz w:val="32"/>
          <w:szCs w:val="32"/>
          <w:lang w:val="en-US" w:eastAsia="zh-CN"/>
        </w:rPr>
        <w:t>产值达2.6亿元，同比增长30%；南药产业持续壮大，种植面积达6000多亩，年产值1.5亿元。我们</w:t>
      </w:r>
      <w:r>
        <w:rPr>
          <w:rFonts w:hint="eastAsia" w:ascii="仿宋_GB2312" w:hAnsi="仿宋_GB2312" w:eastAsia="仿宋_GB2312" w:cs="仿宋_GB2312"/>
          <w:sz w:val="32"/>
          <w:szCs w:val="32"/>
        </w:rPr>
        <w:t>不断扶持</w:t>
      </w:r>
      <w:r>
        <w:rPr>
          <w:rFonts w:hint="eastAsia" w:ascii="仿宋_GB2312" w:hAnsi="仿宋_GB2312" w:eastAsia="仿宋_GB2312" w:cs="仿宋_GB2312"/>
          <w:sz w:val="32"/>
          <w:szCs w:val="32"/>
          <w:lang w:val="en-US" w:eastAsia="zh-CN"/>
        </w:rPr>
        <w:t>南药</w:t>
      </w:r>
      <w:r>
        <w:rPr>
          <w:rFonts w:hint="eastAsia" w:ascii="仿宋_GB2312" w:hAnsi="仿宋_GB2312" w:eastAsia="仿宋_GB2312" w:cs="仿宋_GB2312"/>
          <w:sz w:val="32"/>
          <w:szCs w:val="32"/>
        </w:rPr>
        <w:t>种苗繁育基地发展，</w:t>
      </w:r>
      <w:r>
        <w:rPr>
          <w:rFonts w:hint="eastAsia" w:ascii="仿宋_GB2312" w:hAnsi="仿宋_GB2312" w:eastAsia="仿宋_GB2312" w:cs="仿宋_GB2312"/>
          <w:sz w:val="32"/>
          <w:szCs w:val="32"/>
          <w:lang w:val="en-US" w:eastAsia="zh-CN"/>
        </w:rPr>
        <w:t>对种植户进行</w:t>
      </w:r>
      <w:r>
        <w:rPr>
          <w:rFonts w:hint="eastAsia" w:ascii="仿宋_GB2312" w:hAnsi="仿宋_GB2312" w:eastAsia="仿宋_GB2312" w:cs="仿宋_GB2312"/>
          <w:sz w:val="32"/>
          <w:szCs w:val="32"/>
        </w:rPr>
        <w:t>种苗、化肥等方面</w:t>
      </w:r>
      <w:r>
        <w:rPr>
          <w:rFonts w:hint="eastAsia" w:ascii="仿宋_GB2312" w:hAnsi="仿宋_GB2312" w:eastAsia="仿宋_GB2312" w:cs="仿宋_GB2312"/>
          <w:sz w:val="32"/>
          <w:szCs w:val="32"/>
          <w:lang w:val="en-US" w:eastAsia="zh-CN"/>
        </w:rPr>
        <w:t>补贴，壮大南药种植规模，推动南药种业、种植、加工、销售等产业链完善；柠檬种植基地建设取得新进展，引进广东湛江麒柠农业科技有限公司在乌塘镇打造柠季湛江高标准香水柠檬产业基地建设，并配套建设水肥一体化、加工、冷链、合储、物流中心，种植规模占地面积764.5亩，</w:t>
      </w:r>
      <w:r>
        <w:rPr>
          <w:rFonts w:hint="eastAsia" w:ascii="仿宋_GB2312" w:hAnsi="仿宋_GB2312" w:eastAsia="仿宋_GB2312" w:cs="仿宋_GB2312"/>
          <w:sz w:val="32"/>
          <w:szCs w:val="32"/>
        </w:rPr>
        <w:t>辐射带动乌塘群众种植“香水柠檬”，增加群众收入。</w:t>
      </w:r>
    </w:p>
    <w:p w14:paraId="39C8026A">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过去一年，我们锚定高质量发展目标，深入实施“百县千镇万村高质量发展工程”，以典型村建设为突破口，推动乡村振兴全面提速。</w:t>
      </w:r>
      <w:r>
        <w:rPr>
          <w:rFonts w:hint="eastAsia" w:ascii="仿宋_GB2312" w:hAnsi="仿宋_GB2312" w:eastAsia="仿宋_GB2312" w:cs="仿宋_GB2312"/>
          <w:sz w:val="32"/>
          <w:szCs w:val="32"/>
        </w:rPr>
        <w:t>新屋村紧紧围绕“百千万工程”要求，科学统筹各级财政及社会资金，调动群众积极性，全面推进了村主干道白改黑、村庄农房外立面微改造、“三清三拆三整治”、农村生活污水治理等工作，并建立健全各项长效管护机制。同时，以荔枝文化为基础元素对全村风貌进行整体提升改造，打造荔枝元素文旅景观，为新屋村美丽庭院建设奠定风貌环境基础。</w:t>
      </w:r>
      <w:r>
        <w:rPr>
          <w:rFonts w:hint="eastAsia" w:ascii="仿宋_GB2312" w:hAnsi="仿宋_GB2312" w:eastAsia="仿宋_GB2312" w:cs="仿宋_GB2312"/>
          <w:sz w:val="32"/>
          <w:szCs w:val="32"/>
          <w:lang w:val="en-US" w:eastAsia="zh-CN"/>
        </w:rPr>
        <w:t>2024年，新屋村</w:t>
      </w:r>
      <w:r>
        <w:rPr>
          <w:rFonts w:hint="eastAsia" w:ascii="仿宋_GB2312" w:hAnsi="仿宋_GB2312" w:eastAsia="仿宋_GB2312" w:cs="仿宋_GB2312"/>
          <w:sz w:val="32"/>
          <w:szCs w:val="32"/>
          <w:lang w:eastAsia="zh-CN"/>
        </w:rPr>
        <w:t>获评市“百千万工程”工作优秀等次；</w:t>
      </w:r>
      <w:r>
        <w:rPr>
          <w:rFonts w:hint="eastAsia" w:ascii="仿宋_GB2312" w:hAnsi="仿宋_GB2312" w:eastAsia="仿宋_GB2312" w:cs="仿宋_GB2312"/>
          <w:sz w:val="32"/>
          <w:szCs w:val="32"/>
        </w:rPr>
        <w:t>第二批典型村建设同步推进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外坡村依托南药产业优势，打造“南药飘香之乡”特色村，建设南药文化园及文化长廊，探索“生态中草药养生+新农村建设”主题的农文旅融合发展路径。</w:t>
      </w:r>
      <w:r>
        <w:rPr>
          <w:rFonts w:hint="eastAsia" w:ascii="仿宋_GB2312" w:hAnsi="仿宋_GB2312" w:eastAsia="仿宋_GB2312" w:cs="仿宋_GB2312"/>
          <w:sz w:val="32"/>
          <w:szCs w:val="32"/>
          <w:lang w:val="en-US" w:eastAsia="zh-CN"/>
        </w:rPr>
        <w:t>山口王村在完善基础设施和生态保护基础上，明确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生态农业+乡村旅游</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发展路径；</w:t>
      </w:r>
      <w:r>
        <w:rPr>
          <w:rFonts w:hint="eastAsia" w:ascii="仿宋_GB2312" w:hAnsi="仿宋_GB2312" w:eastAsia="仿宋_GB2312" w:cs="仿宋_GB2312"/>
          <w:sz w:val="32"/>
          <w:szCs w:val="32"/>
        </w:rPr>
        <w:t>边板村通过土地流转盘活资源，吸引蓝盛蔬菜基地等企业入驻，新增新型农业经营主体2个，带动返乡创业人员参与乡村振兴。</w:t>
      </w:r>
    </w:p>
    <w:p w14:paraId="1C1EA0FB">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一年来，我们主要做了以下工作：</w:t>
      </w:r>
    </w:p>
    <w:p w14:paraId="497E72FE">
      <w:pPr>
        <w:keepNext w:val="0"/>
        <w:keepLines w:val="0"/>
        <w:pageBreakBefore w:val="0"/>
        <w:numPr>
          <w:ilvl w:val="0"/>
          <w:numId w:val="1"/>
        </w:numPr>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rPr>
        <w:t>经济发展稳中有进，产业建设成效显著</w:t>
      </w:r>
    </w:p>
    <w:p w14:paraId="7CA2A3CC">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工业支撑不断夯实。</w:t>
      </w:r>
      <w:r>
        <w:rPr>
          <w:rFonts w:hint="eastAsia" w:ascii="仿宋_GB2312" w:hAnsi="仿宋_GB2312" w:eastAsia="仿宋_GB2312" w:cs="仿宋_GB2312"/>
          <w:sz w:val="32"/>
          <w:szCs w:val="32"/>
          <w:lang w:val="en-US" w:eastAsia="zh-CN"/>
        </w:rPr>
        <w:t>2024年，乌塘镇整体规上企业工业总产值为9729.30万元，较2023年增长24.8%。其中新晋规上工业企业广东龙盟锆业有限公司2024年全年的工业总产值较2023年增加了48.7%，我镇工业总产值整体正增长发展。</w:t>
      </w:r>
      <w:r>
        <w:rPr>
          <w:rFonts w:hint="eastAsia" w:ascii="仿宋_GB2312" w:hAnsi="仿宋_GB2312" w:eastAsia="仿宋_GB2312" w:cs="仿宋_GB2312"/>
          <w:b/>
          <w:bCs/>
          <w:sz w:val="32"/>
          <w:szCs w:val="32"/>
        </w:rPr>
        <w:t>项目建设推动有力。</w:t>
      </w:r>
      <w:r>
        <w:rPr>
          <w:rFonts w:hint="eastAsia" w:ascii="仿宋_GB2312" w:hAnsi="仿宋_GB2312" w:eastAsia="仿宋_GB2312" w:cs="仿宋_GB2312"/>
          <w:sz w:val="32"/>
          <w:szCs w:val="32"/>
          <w:lang w:val="en-US" w:eastAsia="zh-CN"/>
        </w:rPr>
        <w:t>积极推进多个乡村建设项目，边板村、山口王村、外坡村共投入项目资金680万元，实施风貌提升和典型村培育项目，重点推进人居环境整治、村庄风貌提升。新屋村围绕荔枝产业特色，通过整村风貌提升二期项目完善基础设施，打造美丽宜居村，推动产业发展与村庄环境同步提升。</w:t>
      </w:r>
    </w:p>
    <w:p w14:paraId="6D99FBEB">
      <w:pPr>
        <w:keepNext w:val="0"/>
        <w:keepLines w:val="0"/>
        <w:pageBreakBefore w:val="0"/>
        <w:numPr>
          <w:ilvl w:val="0"/>
          <w:numId w:val="1"/>
        </w:numPr>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rPr>
        <w:t>深入挖掘内在潜力，乡村振兴更有成色</w:t>
      </w:r>
    </w:p>
    <w:p w14:paraId="43AC230E">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坚决守住粮食安全红线。</w:t>
      </w:r>
      <w:r>
        <w:rPr>
          <w:rFonts w:hint="eastAsia" w:ascii="仿宋_GB2312" w:hAnsi="仿宋_GB2312" w:eastAsia="仿宋_GB2312" w:cs="仿宋_GB2312"/>
          <w:sz w:val="32"/>
          <w:szCs w:val="32"/>
        </w:rPr>
        <w:t>严格落实耕地保护制度，坚决遏制耕地“非农化”，加强对耕地“非粮化”问题的排查整治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整治占用永久基本农田耕地超440亩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全力保障农业生产，</w:t>
      </w:r>
      <w:r>
        <w:rPr>
          <w:rFonts w:hint="eastAsia" w:ascii="仿宋_GB2312" w:hAnsi="仿宋_GB2312" w:eastAsia="仿宋_GB2312" w:cs="仿宋_GB2312"/>
          <w:sz w:val="32"/>
          <w:szCs w:val="32"/>
          <w:lang w:val="en-US" w:eastAsia="zh-CN"/>
        </w:rPr>
        <w:t>2024年度粮食播种面积16979亩，增长1.7%，粮食产量6100吨，增长2.9%。</w:t>
      </w:r>
      <w:r>
        <w:rPr>
          <w:rFonts w:hint="eastAsia" w:ascii="仿宋_GB2312" w:hAnsi="仿宋_GB2312" w:eastAsia="仿宋_GB2312" w:cs="仿宋_GB2312"/>
          <w:b/>
          <w:bCs/>
          <w:sz w:val="32"/>
          <w:szCs w:val="32"/>
          <w:lang w:val="en-US" w:eastAsia="zh-CN"/>
        </w:rPr>
        <w:t>持续建设高水平宜居乡村。</w:t>
      </w:r>
      <w:r>
        <w:rPr>
          <w:rFonts w:hint="eastAsia" w:ascii="仿宋_GB2312" w:hAnsi="仿宋_GB2312" w:eastAsia="仿宋_GB2312" w:cs="仿宋_GB2312"/>
          <w:sz w:val="32"/>
          <w:szCs w:val="32"/>
        </w:rPr>
        <w:t>全面开展“</w:t>
      </w:r>
      <w:r>
        <w:rPr>
          <w:rFonts w:hint="eastAsia" w:ascii="仿宋_GB2312" w:hAnsi="仿宋_GB2312" w:eastAsia="仿宋_GB2312" w:cs="仿宋_GB2312"/>
          <w:sz w:val="32"/>
          <w:szCs w:val="32"/>
          <w:lang w:eastAsia="zh-CN"/>
        </w:rPr>
        <w:t>美丽庭院</w:t>
      </w:r>
      <w:r>
        <w:rPr>
          <w:rFonts w:hint="eastAsia" w:ascii="仿宋_GB2312" w:hAnsi="仿宋_GB2312" w:eastAsia="仿宋_GB2312" w:cs="仿宋_GB2312"/>
          <w:sz w:val="32"/>
          <w:szCs w:val="32"/>
        </w:rPr>
        <w:t>”建设活动，</w:t>
      </w:r>
      <w:r>
        <w:rPr>
          <w:rFonts w:hint="eastAsia" w:ascii="仿宋_GB2312" w:hAnsi="仿宋_GB2312" w:eastAsia="仿宋_GB2312" w:cs="仿宋_GB2312"/>
          <w:sz w:val="32"/>
          <w:szCs w:val="32"/>
          <w:lang w:val="en-US" w:eastAsia="zh-CN"/>
        </w:rPr>
        <w:t>引导群众共建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美丽庭院</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第一批共评选美丽庭院260户，典型户10户。</w:t>
      </w:r>
      <w:r>
        <w:rPr>
          <w:rFonts w:hint="eastAsia" w:ascii="仿宋_GB2312" w:hAnsi="仿宋_GB2312" w:eastAsia="仿宋_GB2312" w:cs="仿宋_GB2312"/>
          <w:sz w:val="32"/>
          <w:szCs w:val="32"/>
          <w:lang w:eastAsia="zh-CN"/>
        </w:rPr>
        <w:t>第二批</w:t>
      </w:r>
      <w:r>
        <w:rPr>
          <w:rFonts w:hint="eastAsia" w:ascii="仿宋_GB2312" w:hAnsi="仿宋_GB2312" w:eastAsia="仿宋_GB2312" w:cs="仿宋_GB2312"/>
          <w:sz w:val="32"/>
          <w:szCs w:val="32"/>
          <w:lang w:val="en-US" w:eastAsia="zh-CN"/>
        </w:rPr>
        <w:t>36户，全部为典型户，已完成庭院建设为210户。</w:t>
      </w:r>
      <w:r>
        <w:rPr>
          <w:rFonts w:hint="eastAsia" w:ascii="仿宋_GB2312" w:hAnsi="仿宋_GB2312" w:eastAsia="仿宋_GB2312" w:cs="仿宋_GB2312"/>
          <w:b/>
          <w:bCs/>
          <w:sz w:val="32"/>
          <w:szCs w:val="32"/>
          <w:lang w:val="en-US" w:eastAsia="zh-CN"/>
        </w:rPr>
        <w:t>脱贫成果持续巩固。</w:t>
      </w:r>
      <w:r>
        <w:rPr>
          <w:rFonts w:hint="eastAsia" w:ascii="仿宋_GB2312" w:hAnsi="仿宋_GB2312" w:eastAsia="仿宋_GB2312" w:cs="仿宋_GB2312"/>
          <w:sz w:val="32"/>
          <w:szCs w:val="32"/>
          <w:lang w:val="en-US" w:eastAsia="zh-CN"/>
        </w:rPr>
        <w:t>持续加强防返贫动态监测和帮扶，突出抓好脱贫人口、监测对象持续增收工作，持续抓好“两不愁三保障”和饮水安全等政策落实，坚决守牢永久不发生规模性返贫底线,截至12月，</w:t>
      </w:r>
      <w:r>
        <w:rPr>
          <w:rFonts w:hint="eastAsia" w:ascii="仿宋_GB2312" w:hAnsi="仿宋_GB2312" w:eastAsia="仿宋_GB2312" w:cs="仿宋_GB2312"/>
          <w:sz w:val="32"/>
          <w:szCs w:val="32"/>
        </w:rPr>
        <w:t>乌塘镇现存</w:t>
      </w:r>
      <w:r>
        <w:rPr>
          <w:rFonts w:hint="eastAsia" w:ascii="仿宋_GB2312" w:hAnsi="仿宋_GB2312" w:eastAsia="仿宋_GB2312" w:cs="仿宋_GB2312"/>
          <w:sz w:val="32"/>
          <w:szCs w:val="32"/>
          <w:lang w:val="en-US" w:eastAsia="zh-CN"/>
        </w:rPr>
        <w:t>脱贫户有205户499人，其中有劳动能力75户，无劳动能力130户，乌塘圩村监测户1户5人，</w:t>
      </w:r>
      <w:r>
        <w:rPr>
          <w:rFonts w:hint="eastAsia" w:ascii="仿宋_GB2312" w:hAnsi="仿宋_GB2312" w:eastAsia="仿宋_GB2312" w:cs="仿宋_GB2312"/>
          <w:sz w:val="32"/>
          <w:szCs w:val="32"/>
        </w:rPr>
        <w:t>经过帮扶措施帮助下现已稳定消除返贫风险</w:t>
      </w:r>
      <w:r>
        <w:rPr>
          <w:rFonts w:hint="eastAsia" w:ascii="仿宋_GB2312" w:hAnsi="仿宋_GB2312" w:eastAsia="仿宋_GB2312" w:cs="仿宋_GB2312"/>
          <w:sz w:val="32"/>
          <w:szCs w:val="32"/>
          <w:lang w:val="en-US" w:eastAsia="zh-CN"/>
        </w:rPr>
        <w:t>，已</w:t>
      </w:r>
      <w:r>
        <w:rPr>
          <w:rFonts w:hint="eastAsia" w:ascii="仿宋_GB2312" w:hAnsi="仿宋_GB2312" w:eastAsia="仿宋_GB2312" w:cs="仿宋_GB2312"/>
          <w:sz w:val="32"/>
          <w:szCs w:val="32"/>
        </w:rPr>
        <w:t>按照规定退出监测</w:t>
      </w:r>
      <w:r>
        <w:rPr>
          <w:rFonts w:hint="eastAsia" w:ascii="仿宋_GB2312" w:hAnsi="仿宋_GB2312" w:eastAsia="仿宋_GB2312" w:cs="仿宋_GB2312"/>
          <w:sz w:val="32"/>
          <w:szCs w:val="32"/>
          <w:lang w:eastAsia="zh-CN"/>
        </w:rPr>
        <w:t>。</w:t>
      </w:r>
    </w:p>
    <w:p w14:paraId="23019573">
      <w:pPr>
        <w:keepNext w:val="0"/>
        <w:keepLines w:val="0"/>
        <w:pageBreakBefore w:val="0"/>
        <w:numPr>
          <w:ilvl w:val="0"/>
          <w:numId w:val="1"/>
        </w:numPr>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rPr>
        <w:t>生态保护持续发力，环境质量稳步提升</w:t>
      </w:r>
    </w:p>
    <w:p w14:paraId="514BB2E7">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深入推进生态环境保护督察整改，空气质量优良率保持高位，生态环境持续改善。</w:t>
      </w:r>
      <w:r>
        <w:rPr>
          <w:rFonts w:hint="eastAsia" w:ascii="仿宋_GB2312" w:hAnsi="仿宋_GB2312" w:eastAsia="仿宋_GB2312" w:cs="仿宋_GB2312"/>
          <w:b/>
          <w:bCs/>
          <w:sz w:val="32"/>
          <w:szCs w:val="32"/>
          <w:lang w:val="en-US" w:eastAsia="zh-CN"/>
        </w:rPr>
        <w:t>畜禽养殖污染整治有力。</w:t>
      </w:r>
      <w:r>
        <w:rPr>
          <w:rFonts w:hint="eastAsia" w:ascii="仿宋_GB2312" w:hAnsi="仿宋_GB2312" w:eastAsia="仿宋_GB2312" w:cs="仿宋_GB2312"/>
          <w:sz w:val="32"/>
          <w:szCs w:val="32"/>
          <w:lang w:val="en-US" w:eastAsia="zh-CN"/>
        </w:rPr>
        <w:t>严格执行环境影响评价和“三同时”制度，要求养殖场选址远离环境敏感区域，并建设污染治理设施，确保达标排放。2024年共对9家粪污处理设施不符合要求的养殖场进行整改和清退，全镇未发生养殖业重大污染上访事件。</w:t>
      </w:r>
      <w:r>
        <w:rPr>
          <w:rFonts w:hint="eastAsia" w:ascii="仿宋_GB2312" w:hAnsi="仿宋_GB2312" w:eastAsia="仿宋_GB2312" w:cs="仿宋_GB2312"/>
          <w:b/>
          <w:bCs/>
          <w:sz w:val="32"/>
          <w:szCs w:val="32"/>
          <w:lang w:val="en-US" w:eastAsia="zh-CN"/>
        </w:rPr>
        <w:t>垃圾治理成效显著。</w:t>
      </w:r>
      <w:r>
        <w:rPr>
          <w:rFonts w:hint="eastAsia" w:ascii="仿宋_GB2312" w:hAnsi="仿宋_GB2312" w:eastAsia="仿宋_GB2312" w:cs="仿宋_GB2312"/>
          <w:sz w:val="32"/>
          <w:szCs w:val="32"/>
          <w:lang w:val="en-US" w:eastAsia="zh-CN"/>
        </w:rPr>
        <w:t>建成“村收集-镇转运-县处理”的收运处理体系，覆盖全镇45条自然村，生活垃圾收运处理率达到100%。</w:t>
      </w:r>
      <w:r>
        <w:rPr>
          <w:rFonts w:hint="eastAsia" w:ascii="仿宋_GB2312" w:hAnsi="仿宋_GB2312" w:eastAsia="仿宋_GB2312" w:cs="仿宋_GB2312"/>
          <w:b/>
          <w:bCs/>
          <w:sz w:val="32"/>
          <w:szCs w:val="32"/>
          <w:lang w:val="en-US" w:eastAsia="zh-CN"/>
        </w:rPr>
        <w:t>污水治理全面提质。</w:t>
      </w:r>
      <w:r>
        <w:rPr>
          <w:rFonts w:hint="eastAsia" w:ascii="仿宋_GB2312" w:hAnsi="仿宋_GB2312" w:eastAsia="仿宋_GB2312" w:cs="仿宋_GB2312"/>
          <w:sz w:val="32"/>
          <w:szCs w:val="32"/>
          <w:lang w:val="en-US" w:eastAsia="zh-CN"/>
        </w:rPr>
        <w:t>全镇45条自然村均完成提质工作，建设58个污水设施项目，污水日处理能力达1650吨。</w:t>
      </w:r>
      <w:r>
        <w:rPr>
          <w:rFonts w:hint="eastAsia" w:ascii="仿宋_GB2312" w:hAnsi="仿宋_GB2312" w:eastAsia="仿宋_GB2312" w:cs="仿宋_GB2312"/>
          <w:b/>
          <w:bCs/>
          <w:sz w:val="32"/>
          <w:szCs w:val="32"/>
          <w:lang w:val="en-US" w:eastAsia="zh-CN"/>
        </w:rPr>
        <w:t>河长制工作扎实推进。</w:t>
      </w:r>
      <w:r>
        <w:rPr>
          <w:rFonts w:hint="eastAsia" w:ascii="仿宋_GB2312" w:hAnsi="仿宋_GB2312" w:eastAsia="仿宋_GB2312" w:cs="仿宋_GB2312"/>
          <w:sz w:val="32"/>
          <w:szCs w:val="32"/>
          <w:lang w:val="en-US" w:eastAsia="zh-CN"/>
        </w:rPr>
        <w:t>河道环境持续改善，镇、村两级河长全年巡河541次，全面完成河湖“四乱”问题整治，共发现存在问题32个，已办结32个，办结率100%。</w:t>
      </w:r>
    </w:p>
    <w:p w14:paraId="0C76BD8B">
      <w:pPr>
        <w:keepNext w:val="0"/>
        <w:keepLines w:val="0"/>
        <w:pageBreakBefore w:val="0"/>
        <w:numPr>
          <w:ilvl w:val="0"/>
          <w:numId w:val="1"/>
        </w:numPr>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rPr>
        <w:t>扎实做好民生保障，民生福祉有效改善</w:t>
      </w:r>
    </w:p>
    <w:p w14:paraId="6999C7EE">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民生保障有力有效。</w:t>
      </w:r>
      <w:r>
        <w:rPr>
          <w:rFonts w:hint="eastAsia" w:ascii="仿宋_GB2312" w:hAnsi="仿宋_GB2312" w:eastAsia="仿宋_GB2312" w:cs="仿宋_GB2312"/>
          <w:sz w:val="32"/>
          <w:szCs w:val="32"/>
          <w:lang w:val="en-US" w:eastAsia="zh-CN"/>
        </w:rPr>
        <w:t>坚持以人民为中心，聚焦群众身边急难愁盼的事情，推动民生事业迈向新高度，不断提高困难群众保障水平。2024年，居民人均可支配收入27187元，同比增长4.8%。</w:t>
      </w:r>
      <w:r>
        <w:rPr>
          <w:rFonts w:hint="eastAsia" w:ascii="仿宋_GB2312" w:hAnsi="仿宋_GB2312" w:eastAsia="仿宋_GB2312" w:cs="仿宋_GB2312"/>
          <w:b/>
          <w:bCs/>
          <w:sz w:val="32"/>
          <w:szCs w:val="32"/>
          <w:lang w:val="en-US" w:eastAsia="zh-CN"/>
        </w:rPr>
        <w:t>教育事业</w:t>
      </w:r>
      <w:r>
        <w:rPr>
          <w:rFonts w:hint="eastAsia" w:ascii="仿宋_GB2312" w:hAnsi="仿宋_GB2312" w:eastAsia="仿宋_GB2312" w:cs="仿宋_GB2312"/>
          <w:b/>
          <w:bCs/>
          <w:sz w:val="32"/>
          <w:szCs w:val="32"/>
        </w:rPr>
        <w:t>大幅提升。</w:t>
      </w:r>
      <w:r>
        <w:rPr>
          <w:rFonts w:hint="eastAsia" w:ascii="仿宋_GB2312" w:hAnsi="仿宋_GB2312" w:eastAsia="仿宋_GB2312" w:cs="仿宋_GB2312"/>
          <w:sz w:val="32"/>
          <w:szCs w:val="32"/>
          <w:lang w:val="en-US" w:eastAsia="zh-CN"/>
        </w:rPr>
        <w:t>深入推进创建国家级普及普惠学前教育工作，累计投入资金10万元，完成全镇幼儿园改扩建工程，实现行政村幼儿园覆盖率100%，适龄儿童入园率100%。中考成绩表现亮眼，乌塘中学参加中考的毕业生123人，考上重点中学以上21人，其中湛</w:t>
      </w:r>
      <w:r>
        <w:rPr>
          <w:rFonts w:hint="eastAsia" w:ascii="仿宋_GB2312" w:hAnsi="仿宋_GB2312" w:eastAsia="仿宋_GB2312" w:cs="仿宋_GB2312"/>
          <w:sz w:val="32"/>
          <w:szCs w:val="32"/>
        </w:rPr>
        <w:t>江幼师五年公费生1人，湛江二中1人，遂溪一中19人，重点率高达17%。</w:t>
      </w:r>
      <w:r>
        <w:rPr>
          <w:rFonts w:hint="eastAsia" w:ascii="仿宋_GB2312" w:hAnsi="仿宋_GB2312" w:eastAsia="仿宋_GB2312" w:cs="仿宋_GB2312"/>
          <w:b/>
          <w:bCs/>
          <w:sz w:val="32"/>
          <w:szCs w:val="32"/>
          <w:lang w:val="en-US" w:eastAsia="zh-CN"/>
        </w:rPr>
        <w:t>文体事业蓬勃发展。</w:t>
      </w:r>
      <w:r>
        <w:rPr>
          <w:rFonts w:hint="eastAsia" w:ascii="仿宋_GB2312" w:hAnsi="仿宋_GB2312" w:eastAsia="仿宋_GB2312" w:cs="仿宋_GB2312"/>
          <w:sz w:val="32"/>
          <w:szCs w:val="32"/>
          <w:lang w:val="en-US" w:eastAsia="zh-CN"/>
        </w:rPr>
        <w:t>广泛开展观影、戏剧下乡文艺汇演等群众喜闻乐见的活动68余次，惠及人数1600余人；在“百千万工程”首批典型村新屋村举行全民健步活动，吸引500多名干部群众参加；开展“我们的节日”“志愿服务”“新时代文明实践”等系列活动1632场，进一步强化意识形态阵地建设，营造良好的文化氛围。</w:t>
      </w:r>
    </w:p>
    <w:p w14:paraId="54208AD8">
      <w:pPr>
        <w:keepNext w:val="0"/>
        <w:keepLines w:val="0"/>
        <w:pageBreakBefore w:val="0"/>
        <w:numPr>
          <w:ilvl w:val="0"/>
          <w:numId w:val="1"/>
        </w:numPr>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rPr>
        <w:t>守稳守牢安全底线，打造平安稳定</w:t>
      </w:r>
      <w:r>
        <w:rPr>
          <w:rFonts w:hint="eastAsia" w:ascii="楷体_GB2312" w:hAnsi="楷体_GB2312" w:eastAsia="楷体_GB2312" w:cs="楷体_GB2312"/>
          <w:b/>
          <w:bCs/>
          <w:sz w:val="32"/>
          <w:szCs w:val="32"/>
          <w:lang w:val="en-US" w:eastAsia="zh-CN"/>
        </w:rPr>
        <w:t>乌塘</w:t>
      </w:r>
    </w:p>
    <w:p w14:paraId="2A920445">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平安建设稳中向好。</w:t>
      </w:r>
      <w:r>
        <w:rPr>
          <w:rFonts w:hint="eastAsia" w:ascii="仿宋_GB2312" w:hAnsi="仿宋_GB2312" w:eastAsia="仿宋_GB2312" w:cs="仿宋_GB2312"/>
          <w:sz w:val="32"/>
          <w:szCs w:val="32"/>
          <w:lang w:val="en-US" w:eastAsia="zh-CN"/>
        </w:rPr>
        <w:t>全力做好全年各个特防期维稳工作，坚持和发展新时代“枫桥经验”，推进“1+6+N”基层社会治</w:t>
      </w:r>
      <w:r>
        <w:rPr>
          <w:rFonts w:hint="eastAsia" w:ascii="仿宋_GB2312" w:hAnsi="仿宋_GB2312" w:eastAsia="仿宋_GB2312" w:cs="仿宋_GB2312"/>
          <w:sz w:val="32"/>
          <w:szCs w:val="32"/>
          <w:lang w:eastAsia="zh-CN"/>
        </w:rPr>
        <w:t>理工作体系建设，全年调处各类矛盾纠纷47起，受理办理信访事项33件。持续推进“平安夜访”活动，充分发挥领导干部下访的“调解器”和“减压阀”作用，全年累计开展夜访活动248场次。推进全民禁毒行动，常态化做好扫黑除恶、反邪教等工作，加大力度稳控重点人群，走访特殊人群576人次。认真落实“八五”普法规划，扎实开展法治宣传教育工作，全年开展各类六进宣传活动36场次。</w:t>
      </w:r>
      <w:r>
        <w:rPr>
          <w:rFonts w:hint="eastAsia" w:ascii="仿宋_GB2312" w:hAnsi="仿宋_GB2312" w:eastAsia="仿宋_GB2312" w:cs="仿宋_GB2312"/>
          <w:b/>
          <w:bCs/>
          <w:sz w:val="32"/>
          <w:szCs w:val="32"/>
        </w:rPr>
        <w:t>安全底线守稳筑牢。</w:t>
      </w:r>
      <w:r>
        <w:rPr>
          <w:rFonts w:hint="eastAsia" w:ascii="仿宋_GB2312" w:hAnsi="仿宋_GB2312" w:eastAsia="仿宋_GB2312" w:cs="仿宋_GB2312"/>
          <w:sz w:val="32"/>
          <w:szCs w:val="32"/>
        </w:rPr>
        <w:t>压紧压实安全生产责任，扎实开展好安全生产大检查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2024年共</w:t>
      </w:r>
      <w:r>
        <w:rPr>
          <w:rFonts w:hint="eastAsia" w:ascii="仿宋_GB2312" w:hAnsi="仿宋_GB2312" w:eastAsia="仿宋_GB2312" w:cs="仿宋_GB2312"/>
          <w:sz w:val="32"/>
          <w:szCs w:val="32"/>
        </w:rPr>
        <w:t>组织各部门、各村委会开展应急演练</w:t>
      </w:r>
      <w:r>
        <w:rPr>
          <w:rFonts w:hint="eastAsia" w:ascii="仿宋_GB2312" w:hAnsi="仿宋_GB2312" w:eastAsia="仿宋_GB2312" w:cs="仿宋_GB2312"/>
          <w:sz w:val="32"/>
          <w:szCs w:val="32"/>
          <w:lang w:val="en-US" w:eastAsia="zh-CN"/>
        </w:rPr>
        <w:t>20余次。不</w:t>
      </w:r>
      <w:r>
        <w:rPr>
          <w:rFonts w:hint="eastAsia" w:ascii="仿宋_GB2312" w:hAnsi="仿宋_GB2312" w:eastAsia="仿宋_GB2312" w:cs="仿宋_GB2312"/>
          <w:sz w:val="32"/>
          <w:szCs w:val="32"/>
        </w:rPr>
        <w:t>定期对辖区内“三小场所”“三合一场所”、自建房、公共场所的消防安全隐患进行排查，重点排查建筑施工现场，严格检查各建筑施工工地的安全防护设施、建筑起重机械设备及消防设施等是否符合安全标准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全年</w:t>
      </w:r>
      <w:r>
        <w:rPr>
          <w:rFonts w:hint="eastAsia" w:ascii="仿宋_GB2312" w:hAnsi="仿宋_GB2312" w:eastAsia="仿宋_GB2312" w:cs="仿宋_GB2312"/>
          <w:sz w:val="32"/>
          <w:szCs w:val="32"/>
        </w:rPr>
        <w:t>累计开展各类消防安全检查40余次。</w:t>
      </w:r>
      <w:r>
        <w:rPr>
          <w:rFonts w:hint="eastAsia" w:ascii="仿宋_GB2312" w:hAnsi="仿宋_GB2312" w:eastAsia="仿宋_GB2312" w:cs="仿宋_GB2312"/>
          <w:sz w:val="32"/>
          <w:szCs w:val="32"/>
          <w:lang w:val="en-US" w:eastAsia="zh-CN"/>
        </w:rPr>
        <w:t>成功应对2轮寒冷天气、7轮强降水和防御个8台风。</w:t>
      </w:r>
      <w:r>
        <w:rPr>
          <w:rFonts w:hint="eastAsia" w:ascii="仿宋_GB2312" w:hAnsi="仿宋_GB2312" w:eastAsia="仿宋_GB2312" w:cs="仿宋_GB2312"/>
          <w:b/>
          <w:bCs/>
          <w:sz w:val="32"/>
          <w:szCs w:val="32"/>
        </w:rPr>
        <w:t>交通整治成效显著</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eastAsia="zh-CN"/>
        </w:rPr>
        <w:t>积极配合</w:t>
      </w:r>
      <w:r>
        <w:rPr>
          <w:rFonts w:hint="eastAsia" w:ascii="仿宋_GB2312" w:hAnsi="仿宋_GB2312" w:eastAsia="仿宋_GB2312" w:cs="仿宋_GB2312"/>
          <w:sz w:val="32"/>
          <w:szCs w:val="32"/>
          <w:lang w:val="en-US" w:eastAsia="zh-CN"/>
        </w:rPr>
        <w:t>镇</w:t>
      </w:r>
      <w:r>
        <w:rPr>
          <w:rFonts w:hint="eastAsia" w:ascii="仿宋_GB2312" w:hAnsi="仿宋_GB2312" w:eastAsia="仿宋_GB2312" w:cs="仿宋_GB2312"/>
          <w:sz w:val="32"/>
          <w:szCs w:val="32"/>
          <w:lang w:eastAsia="zh-CN"/>
        </w:rPr>
        <w:t>派出所以及交警中队开展交通整治</w:t>
      </w:r>
      <w:r>
        <w:rPr>
          <w:rFonts w:hint="eastAsia" w:ascii="仿宋_GB2312" w:hAnsi="仿宋_GB2312" w:eastAsia="仿宋_GB2312" w:cs="仿宋_GB2312"/>
          <w:sz w:val="32"/>
          <w:szCs w:val="32"/>
        </w:rPr>
        <w:t>专项活动，加大对酒后驾车、无证驾驶等交通违规违法行为的整治力度，并在重点路段和交通事故多发路段</w:t>
      </w:r>
      <w:r>
        <w:rPr>
          <w:rFonts w:hint="eastAsia" w:ascii="仿宋_GB2312" w:hAnsi="仿宋_GB2312" w:eastAsia="仿宋_GB2312" w:cs="仿宋_GB2312"/>
          <w:sz w:val="32"/>
          <w:szCs w:val="32"/>
          <w:lang w:eastAsia="zh-CN"/>
        </w:rPr>
        <w:t>配合交警中队</w:t>
      </w:r>
      <w:r>
        <w:rPr>
          <w:rFonts w:hint="eastAsia" w:ascii="仿宋_GB2312" w:hAnsi="仿宋_GB2312" w:eastAsia="仿宋_GB2312" w:cs="仿宋_GB2312"/>
          <w:sz w:val="32"/>
          <w:szCs w:val="32"/>
        </w:rPr>
        <w:t>做检查，</w:t>
      </w:r>
      <w:r>
        <w:rPr>
          <w:rFonts w:hint="eastAsia" w:ascii="仿宋_GB2312" w:hAnsi="仿宋_GB2312" w:eastAsia="仿宋_GB2312" w:cs="仿宋_GB2312"/>
          <w:sz w:val="32"/>
          <w:szCs w:val="32"/>
          <w:lang w:val="en-US" w:eastAsia="zh-CN"/>
        </w:rPr>
        <w:t>2024年共查扣无牌无证摩托车、电动车126台，查处交通违法350起，交通劝导人次4000余多人次。</w:t>
      </w:r>
      <w:r>
        <w:rPr>
          <w:rFonts w:hint="eastAsia" w:ascii="仿宋_GB2312" w:hAnsi="仿宋_GB2312" w:eastAsia="仿宋_GB2312" w:cs="仿宋_GB2312"/>
          <w:b/>
          <w:bCs/>
          <w:sz w:val="32"/>
          <w:szCs w:val="32"/>
          <w:lang w:val="en-US" w:eastAsia="zh-CN"/>
        </w:rPr>
        <w:t>行政执法推进有力。</w:t>
      </w:r>
      <w:r>
        <w:rPr>
          <w:rFonts w:hint="eastAsia" w:ascii="仿宋_GB2312" w:hAnsi="仿宋_GB2312" w:eastAsia="仿宋_GB2312" w:cs="仿宋_GB2312"/>
          <w:sz w:val="32"/>
          <w:szCs w:val="32"/>
        </w:rPr>
        <w:t>加强行政执法力度，不断建立健全执法队伍建设，开展集中整治行动25次，出动执法人员122人次，整治乱停乱放超265宗，拆除乱搭乱建超72处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坚持“先批后建”，依法严格执行用地审批制度，完善日常巡查与卫片执法相结合的土地管理机制，有效遏制违法建房现象</w:t>
      </w:r>
      <w:r>
        <w:rPr>
          <w:rFonts w:hint="eastAsia" w:ascii="仿宋_GB2312" w:hAnsi="仿宋_GB2312" w:eastAsia="仿宋_GB2312" w:cs="仿宋_GB2312"/>
          <w:sz w:val="32"/>
          <w:szCs w:val="32"/>
          <w:lang w:val="en-US" w:eastAsia="zh-CN"/>
        </w:rPr>
        <w:t>。此外，保密、档案、武装、地震、气象、统战等工作取得新成效，妇联、团委、工会、关工委等各项事业健康发展。</w:t>
      </w:r>
    </w:p>
    <w:p w14:paraId="69E89DB9">
      <w:pPr>
        <w:keepNext w:val="0"/>
        <w:keepLines w:val="0"/>
        <w:pageBreakBefore w:val="0"/>
        <w:numPr>
          <w:ilvl w:val="0"/>
          <w:numId w:val="1"/>
        </w:numPr>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rPr>
        <w:t>转变职能狠抓质效，</w:t>
      </w:r>
      <w:r>
        <w:rPr>
          <w:rFonts w:hint="eastAsia" w:ascii="楷体_GB2312" w:hAnsi="楷体_GB2312" w:eastAsia="楷体_GB2312" w:cs="楷体_GB2312"/>
          <w:b/>
          <w:bCs/>
          <w:sz w:val="32"/>
          <w:szCs w:val="32"/>
          <w:lang w:val="en-US" w:eastAsia="zh-CN"/>
        </w:rPr>
        <w:t>政府效能</w:t>
      </w:r>
      <w:r>
        <w:rPr>
          <w:rFonts w:hint="eastAsia" w:ascii="楷体_GB2312" w:hAnsi="楷体_GB2312" w:eastAsia="楷体_GB2312" w:cs="楷体_GB2312"/>
          <w:b/>
          <w:bCs/>
          <w:sz w:val="32"/>
          <w:szCs w:val="32"/>
        </w:rPr>
        <w:t>提速升级</w:t>
      </w:r>
    </w:p>
    <w:p w14:paraId="49DC30D5">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把全面从严治党要求落实到政府工作和自身建设全过程，深入开展党纪学习教育。依法接受人大监督，主动接受监察监督、司法监督、群众监督、舆论监督，办理人大代表、群众意见建议31件，牢固树立政府过“紧日子”、群众过“好日子”思想，严格控制“三公”经费，严格落实中央八项规定及其实施细则精神，推进廉洁政府建设，政风作风持续好转。</w:t>
      </w:r>
    </w:p>
    <w:p w14:paraId="227FBEEC">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位代表！回望过去一年，我们在攻坚克难中实现了经济稳增长，在复杂多变的环境中完成了年度发展任务，奋斗充满艰辛，成绩来之不易。这是习近平新时代中国特色社会主义思想科学指引的结果，是镇党委领导下全镇人民真抓实干、奋力拼搏、开拓进取的结果。在此，我代表镇人民政府，向全镇人民，向各位人大代表，向奋战在全镇各行各业、各条战线的干部群众，表示衷心感谢，致以崇高敬意！</w:t>
      </w:r>
    </w:p>
    <w:p w14:paraId="1B0D649E">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在回顾成绩的同时，我们也清醒地看到存在的不足和面临的挑战：部分主要经济指标增速不及预期，发展质量和效益有待提升；产业发展结构不优</w:t>
      </w:r>
      <w:r>
        <w:rPr>
          <w:rFonts w:hint="default" w:ascii="仿宋_GB2312" w:hAnsi="仿宋_GB2312" w:eastAsia="仿宋_GB2312" w:cs="仿宋_GB2312"/>
          <w:sz w:val="32"/>
          <w:szCs w:val="32"/>
          <w:lang w:val="en-US" w:eastAsia="zh-CN"/>
        </w:rPr>
        <w:t>，产业链短，产业体系的韧性和抗风险能力不足</w:t>
      </w:r>
      <w:r>
        <w:rPr>
          <w:rFonts w:hint="eastAsia" w:ascii="仿宋_GB2312" w:hAnsi="仿宋_GB2312" w:eastAsia="仿宋_GB2312" w:cs="仿宋_GB2312"/>
          <w:sz w:val="32"/>
          <w:szCs w:val="32"/>
          <w:lang w:val="en-US" w:eastAsia="zh-CN"/>
        </w:rPr>
        <w:t>；安全生产、防灾减灾仍存在薄弱环节；民生改善和环境保护任务依然较重；干部作风和治理能力建设还要持续加强。</w:t>
      </w:r>
      <w:r>
        <w:rPr>
          <w:rFonts w:hint="default" w:ascii="仿宋_GB2312" w:hAnsi="仿宋_GB2312" w:eastAsia="仿宋_GB2312" w:cs="仿宋_GB2312"/>
          <w:sz w:val="32"/>
          <w:szCs w:val="32"/>
          <w:lang w:val="en-US" w:eastAsia="zh-CN"/>
        </w:rPr>
        <w:t>对此，我们</w:t>
      </w:r>
      <w:r>
        <w:rPr>
          <w:rFonts w:hint="eastAsia" w:ascii="仿宋_GB2312" w:hAnsi="仿宋_GB2312" w:eastAsia="仿宋_GB2312" w:cs="仿宋_GB2312"/>
          <w:sz w:val="32"/>
          <w:szCs w:val="32"/>
          <w:lang w:val="en-US" w:eastAsia="zh-CN"/>
        </w:rPr>
        <w:t>将</w:t>
      </w:r>
      <w:r>
        <w:rPr>
          <w:rFonts w:hint="default" w:ascii="仿宋_GB2312" w:hAnsi="仿宋_GB2312" w:eastAsia="仿宋_GB2312" w:cs="仿宋_GB2312"/>
          <w:sz w:val="32"/>
          <w:szCs w:val="32"/>
          <w:lang w:val="en-US" w:eastAsia="zh-CN"/>
        </w:rPr>
        <w:t>采取有力举措，认真研究加以解决。</w:t>
      </w:r>
    </w:p>
    <w:p w14:paraId="081E8FD7">
      <w:pPr>
        <w:keepNext w:val="0"/>
        <w:keepLines w:val="0"/>
        <w:pageBreakBefore w:val="0"/>
        <w:kinsoku/>
        <w:wordWrap/>
        <w:overflowPunct/>
        <w:topLinePunct w:val="0"/>
        <w:autoSpaceDE/>
        <w:autoSpaceDN/>
        <w:bidi w:val="0"/>
        <w:adjustRightInd/>
        <w:snapToGrid/>
        <w:spacing w:line="576" w:lineRule="exact"/>
        <w:ind w:firstLine="640" w:firstLineChars="20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2025年发展主要目标和下一阶段工作安排</w:t>
      </w:r>
    </w:p>
    <w:p w14:paraId="07D76422">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sz w:val="32"/>
          <w:szCs w:val="32"/>
          <w:lang w:val="en-US" w:eastAsia="zh-CN"/>
        </w:rPr>
        <w:t>今年是“十四五”规划收官之年，</w:t>
      </w:r>
      <w:r>
        <w:rPr>
          <w:rFonts w:hint="eastAsia" w:ascii="仿宋_GB2312" w:hAnsi="仿宋_GB2312" w:eastAsia="仿宋_GB2312" w:cs="仿宋_GB2312"/>
          <w:color w:val="000000"/>
          <w:kern w:val="0"/>
          <w:sz w:val="32"/>
          <w:szCs w:val="32"/>
          <w:lang w:val="en-US" w:eastAsia="zh-CN" w:bidi="ar"/>
        </w:rPr>
        <w:t>是“百千万工程”三年初见成效之年，做好各项工作意义重大。</w:t>
      </w:r>
      <w:r>
        <w:rPr>
          <w:rFonts w:hint="eastAsia" w:ascii="仿宋_GB2312" w:hAnsi="仿宋_GB2312" w:eastAsia="仿宋_GB2312" w:cs="仿宋_GB2312"/>
          <w:b/>
          <w:bCs/>
          <w:color w:val="000000"/>
          <w:kern w:val="0"/>
          <w:sz w:val="32"/>
          <w:szCs w:val="32"/>
          <w:lang w:val="en-US" w:eastAsia="zh-CN" w:bidi="ar"/>
        </w:rPr>
        <w:t>政府工作总体要求是：</w:t>
      </w:r>
      <w:r>
        <w:rPr>
          <w:rFonts w:hint="eastAsia" w:ascii="仿宋_GB2312" w:hAnsi="仿宋_GB2312" w:eastAsia="仿宋_GB2312" w:cs="仿宋_GB2312"/>
          <w:color w:val="000000"/>
          <w:kern w:val="0"/>
          <w:sz w:val="32"/>
          <w:szCs w:val="32"/>
          <w:lang w:val="en-US" w:eastAsia="zh-CN" w:bidi="ar"/>
        </w:rPr>
        <w:t>以习近平新时代中国特色社会主义思想为指导，全面贯彻落实党的二十大和二十届二中、三中全会以及中央经济工作会议精神，深入学习贯彻习近平总书记对广东系列重要讲话和重要指示精神，认真落实省委“1310”具体部署，纵深推进“1+3+6”行动计划，按照镇委工作安排，坚持稳中求进工作总基调，完整准确全面贯彻新发展理念，服务和融入新发展格局，深入实施“百千万工程”，扎实推动乌塘镇跨越式、高质量发展，全力以赴抓经济、抓民生、抓环境、抓作风，更好统筹发展和安全，高质量完成“十四五”规划目标任务，奋力谱写中国式现代化美好乌塘建设新篇章！</w:t>
      </w:r>
    </w:p>
    <w:p w14:paraId="3737369B">
      <w:pPr>
        <w:keepNext w:val="0"/>
        <w:keepLines w:val="0"/>
        <w:pageBreakBefore w:val="0"/>
        <w:widowControl/>
        <w:suppressLineNumbers w:val="0"/>
        <w:kinsoku/>
        <w:wordWrap/>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今年经济社会发展的主要预期目标：</w:t>
      </w:r>
      <w:r>
        <w:rPr>
          <w:rFonts w:hint="eastAsia" w:ascii="仿宋_GB2312" w:hAnsi="仿宋_GB2312" w:eastAsia="仿宋_GB2312" w:cs="仿宋_GB2312"/>
          <w:color w:val="000000"/>
          <w:kern w:val="0"/>
          <w:sz w:val="32"/>
          <w:szCs w:val="32"/>
          <w:lang w:val="en-US" w:eastAsia="zh-CN" w:bidi="ar"/>
        </w:rPr>
        <w:t>地区生产总值增长5%左右，规模以上工业增加值增长27%左右，固定资产投资增长6%左右，社会消费品零售总额增长5%左右，人均可支配收入与经济同步增长。</w:t>
      </w:r>
    </w:p>
    <w:p w14:paraId="2F08A460">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重点抓好六个方面的工作：</w:t>
      </w:r>
    </w:p>
    <w:p w14:paraId="186AB910">
      <w:pPr>
        <w:keepNext w:val="0"/>
        <w:keepLines w:val="0"/>
        <w:pageBreakBefore w:val="0"/>
        <w:numPr>
          <w:ilvl w:val="0"/>
          <w:numId w:val="2"/>
        </w:numPr>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rPr>
        <w:t>坚持产业为本，全力以赴提升发展总量</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lang w:val="en-US" w:eastAsia="zh-CN"/>
        </w:rPr>
        <w:t>锚定产业链现代化攻坚方向，推动传统产业转型升级与新兴产业培育壮大，为现代化建设夯实根基。</w:t>
      </w:r>
    </w:p>
    <w:p w14:paraId="63E3E2FC">
      <w:pPr>
        <w:keepNext w:val="0"/>
        <w:keepLines w:val="0"/>
        <w:pageBreakBefore w:val="0"/>
        <w:numPr>
          <w:ilvl w:val="0"/>
          <w:numId w:val="0"/>
        </w:numPr>
        <w:kinsoku/>
        <w:wordWrap/>
        <w:overflowPunct/>
        <w:topLinePunct w:val="0"/>
        <w:autoSpaceDE/>
        <w:autoSpaceDN/>
        <w:bidi w:val="0"/>
        <w:adjustRightInd/>
        <w:snapToGrid/>
        <w:spacing w:line="576"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加强特色产业的发展。</w:t>
      </w:r>
      <w:r>
        <w:rPr>
          <w:rFonts w:hint="eastAsia" w:ascii="仿宋_GB2312" w:hAnsi="仿宋_GB2312" w:eastAsia="仿宋_GB2312" w:cs="仿宋_GB2312"/>
          <w:sz w:val="32"/>
          <w:szCs w:val="32"/>
          <w:lang w:val="en-US" w:eastAsia="zh-CN"/>
        </w:rPr>
        <w:t>主动融入“12221”市场体系建设总行动，以“党建引领+政府搭台+多方参与+群众增收”的发展思路，加强“仙品荔”品牌建设，通过标准化种植、深加工开发、市场推广、小红书推介等措施，提升品牌知名度和市场竞争力。</w:t>
      </w:r>
      <w:r>
        <w:rPr>
          <w:rFonts w:hint="eastAsia" w:ascii="仿宋_GB2312" w:hAnsi="仿宋_GB2312" w:eastAsia="仿宋_GB2312" w:cs="仿宋_GB2312"/>
          <w:b/>
          <w:bCs/>
          <w:sz w:val="32"/>
          <w:szCs w:val="32"/>
        </w:rPr>
        <w:t>扎实做好项目谋划。</w:t>
      </w:r>
      <w:r>
        <w:rPr>
          <w:rFonts w:hint="eastAsia" w:ascii="仿宋_GB2312" w:hAnsi="仿宋_GB2312" w:eastAsia="仿宋_GB2312" w:cs="仿宋_GB2312"/>
          <w:sz w:val="32"/>
          <w:szCs w:val="32"/>
          <w:lang w:val="en-US" w:eastAsia="zh-CN"/>
        </w:rPr>
        <w:t>推进综合体工程建设，以服务乡村振兴战略为目标，完善镇区旅居服务能力，促进农旅研学经济发展。</w:t>
      </w:r>
      <w:r>
        <w:rPr>
          <w:rFonts w:hint="eastAsia" w:ascii="仿宋_GB2312" w:hAnsi="仿宋_GB2312" w:eastAsia="仿宋_GB2312" w:cs="仿宋_GB2312"/>
          <w:b/>
          <w:bCs/>
          <w:sz w:val="32"/>
          <w:szCs w:val="32"/>
        </w:rPr>
        <w:t>加大招商引资力度</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sz w:val="32"/>
          <w:szCs w:val="32"/>
        </w:rPr>
        <w:t>加强招商引资力度，筹备</w:t>
      </w:r>
      <w:r>
        <w:rPr>
          <w:rFonts w:hint="eastAsia" w:ascii="仿宋_GB2312" w:hAnsi="仿宋_GB2312" w:eastAsia="仿宋_GB2312" w:cs="仿宋_GB2312"/>
          <w:sz w:val="32"/>
          <w:szCs w:val="32"/>
          <w:lang w:val="en-US" w:eastAsia="zh-CN"/>
        </w:rPr>
        <w:t>成立乌塘商会，持续健全营商环境，坚持和落实“两个毫不动摇”，弘扬企业家精神，为各类企业营造好发展环境。</w:t>
      </w:r>
    </w:p>
    <w:p w14:paraId="242E0FED">
      <w:pPr>
        <w:keepNext w:val="0"/>
        <w:keepLines w:val="0"/>
        <w:pageBreakBefore w:val="0"/>
        <w:numPr>
          <w:ilvl w:val="0"/>
          <w:numId w:val="2"/>
        </w:numPr>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坚持</w:t>
      </w:r>
      <w:r>
        <w:rPr>
          <w:rFonts w:hint="eastAsia" w:ascii="楷体_GB2312" w:hAnsi="楷体_GB2312" w:eastAsia="楷体_GB2312" w:cs="楷体_GB2312"/>
          <w:b/>
          <w:bCs/>
          <w:sz w:val="32"/>
          <w:szCs w:val="32"/>
        </w:rPr>
        <w:t>乡村振兴，</w:t>
      </w:r>
      <w:r>
        <w:rPr>
          <w:rFonts w:hint="eastAsia" w:ascii="楷体_GB2312" w:hAnsi="楷体_GB2312" w:eastAsia="楷体_GB2312" w:cs="楷体_GB2312"/>
          <w:b/>
          <w:bCs/>
          <w:sz w:val="32"/>
          <w:szCs w:val="32"/>
          <w:lang w:val="en-US" w:eastAsia="zh-CN"/>
        </w:rPr>
        <w:t>全力以赴</w:t>
      </w:r>
      <w:r>
        <w:rPr>
          <w:rFonts w:hint="eastAsia" w:ascii="楷体_GB2312" w:hAnsi="楷体_GB2312" w:eastAsia="楷体_GB2312" w:cs="楷体_GB2312"/>
          <w:b/>
          <w:bCs/>
          <w:sz w:val="32"/>
          <w:szCs w:val="32"/>
        </w:rPr>
        <w:t>推进“和美乡村”建设。</w:t>
      </w:r>
      <w:r>
        <w:rPr>
          <w:rFonts w:hint="eastAsia" w:ascii="仿宋_GB2312" w:hAnsi="仿宋_GB2312" w:eastAsia="仿宋_GB2312" w:cs="仿宋_GB2312"/>
          <w:sz w:val="32"/>
          <w:szCs w:val="32"/>
          <w:lang w:val="en-US" w:eastAsia="zh-CN"/>
        </w:rPr>
        <w:t>聚焦“百千万工程”，奋力实现“三年初见成效”目标，加快构建镇村协同发展新格局。</w:t>
      </w:r>
    </w:p>
    <w:p w14:paraId="27841434">
      <w:pPr>
        <w:keepNext w:val="0"/>
        <w:keepLines w:val="0"/>
        <w:pageBreakBefore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加快建设和美乡村。</w:t>
      </w:r>
      <w:r>
        <w:rPr>
          <w:rFonts w:hint="eastAsia" w:ascii="仿宋_GB2312" w:hAnsi="仿宋_GB2312" w:eastAsia="仿宋_GB2312" w:cs="仿宋_GB2312"/>
          <w:sz w:val="32"/>
          <w:szCs w:val="32"/>
          <w:lang w:val="en-US" w:eastAsia="zh-CN"/>
        </w:rPr>
        <w:t>深入巩固新屋村、外坡村、山口王村、边板村典型村建设成效，谋划做好迈机西村、安贡村、扫手塘村典型村培育工作，实施村庄规划优化提升。持续巩固“三大革命”及农村人居环境整治成效，</w:t>
      </w:r>
      <w:r>
        <w:rPr>
          <w:rFonts w:hint="eastAsia" w:ascii="仿宋_GB2312" w:hAnsi="仿宋_GB2312" w:eastAsia="仿宋_GB2312" w:cs="仿宋_GB2312"/>
          <w:sz w:val="32"/>
          <w:szCs w:val="32"/>
        </w:rPr>
        <w:t>全面提升农村人居环境质量，统筹推进村容村貌提升、农村生活垃圾治理等重点工作。建立镇村联动机制，组织各方力量开展“三清三拆三整治”行动，进一步改善村容村貌。</w:t>
      </w:r>
      <w:r>
        <w:rPr>
          <w:rFonts w:hint="eastAsia" w:ascii="仿宋_GB2312" w:hAnsi="仿宋_GB2312" w:eastAsia="仿宋_GB2312" w:cs="仿宋_GB2312"/>
          <w:sz w:val="32"/>
          <w:szCs w:val="32"/>
          <w:lang w:val="en-US" w:eastAsia="zh-CN"/>
        </w:rPr>
        <w:t>以乡村振兴示范带为基础，完成农房风貌管控提升示范带建设，建立常态化农房风貌管控机制。深化农村集体“三资”改革，健全新型农村集体经济发展机制，健全新型农村集体经济发展机制，推广“强镇富村”“强村富民”公司模式，盘活乡村闲置资源。</w:t>
      </w:r>
      <w:r>
        <w:rPr>
          <w:rFonts w:hint="eastAsia" w:ascii="仿宋_GB2312" w:hAnsi="仿宋_GB2312" w:eastAsia="仿宋_GB2312" w:cs="仿宋_GB2312"/>
          <w:b/>
          <w:bCs/>
          <w:sz w:val="32"/>
          <w:szCs w:val="32"/>
          <w:lang w:val="en-US" w:eastAsia="zh-CN"/>
        </w:rPr>
        <w:t>持续推动富民增收。</w:t>
      </w:r>
      <w:r>
        <w:rPr>
          <w:rFonts w:hint="eastAsia" w:ascii="仿宋_GB2312" w:hAnsi="仿宋_GB2312" w:eastAsia="仿宋_GB2312" w:cs="仿宋_GB2312"/>
          <w:sz w:val="32"/>
          <w:szCs w:val="32"/>
          <w:lang w:val="en-US" w:eastAsia="zh-CN"/>
        </w:rPr>
        <w:t>全面落实粮食安全党政同责，持续扩大粮食播种面积，严禁耕地非农化，严防耕地非粮化，坚决整治乱占、破坏耕地违法行为，力争农作物产量保持稳定增长。</w:t>
      </w:r>
      <w:r>
        <w:rPr>
          <w:rFonts w:hint="eastAsia" w:ascii="仿宋_GB2312" w:hAnsi="仿宋_GB2312" w:eastAsia="仿宋_GB2312" w:cs="仿宋_GB2312"/>
          <w:b/>
          <w:bCs/>
          <w:sz w:val="32"/>
          <w:szCs w:val="32"/>
          <w:lang w:val="en-US" w:eastAsia="zh-CN"/>
        </w:rPr>
        <w:t>深入推进乡村绿化工作。</w:t>
      </w:r>
      <w:r>
        <w:rPr>
          <w:rFonts w:hint="eastAsia" w:ascii="仿宋_GB2312" w:hAnsi="仿宋_GB2312" w:eastAsia="仿宋_GB2312" w:cs="仿宋_GB2312"/>
          <w:sz w:val="32"/>
          <w:szCs w:val="32"/>
          <w:lang w:val="en-US" w:eastAsia="zh-CN"/>
        </w:rPr>
        <w:t>通过“经济果林+观赏树木”的模式，积极开展“人大林”“巾帼林”“喜事林”“青年林”等主题植树活动，深入推进镇村绿化工作，加快一批绿美示范点建设。全面落实林长制，实施森林质量精准提升，提高古树名木保护水平，完善绿化后续长效管护机制。</w:t>
      </w:r>
    </w:p>
    <w:p w14:paraId="19981E81">
      <w:pPr>
        <w:keepNext w:val="0"/>
        <w:keepLines w:val="0"/>
        <w:pageBreakBefore w:val="0"/>
        <w:numPr>
          <w:ilvl w:val="0"/>
          <w:numId w:val="2"/>
        </w:numPr>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rPr>
        <w:t>坚持民生为本，全力以赴普惠发展成果</w:t>
      </w:r>
      <w:r>
        <w:rPr>
          <w:rFonts w:hint="eastAsia" w:ascii="楷体_GB2312" w:hAnsi="楷体_GB2312" w:eastAsia="楷体_GB2312" w:cs="楷体_GB2312"/>
          <w:b/>
          <w:bCs/>
          <w:sz w:val="32"/>
          <w:szCs w:val="32"/>
          <w:lang w:eastAsia="zh-CN"/>
        </w:rPr>
        <w:t>。</w:t>
      </w:r>
      <w:r>
        <w:rPr>
          <w:rFonts w:ascii="仿宋_GB2312" w:hAnsi="宋体" w:eastAsia="仿宋_GB2312" w:cs="仿宋_GB2312"/>
          <w:i w:val="0"/>
          <w:iCs w:val="0"/>
          <w:caps w:val="0"/>
          <w:color w:val="333333"/>
          <w:spacing w:val="0"/>
          <w:sz w:val="32"/>
          <w:szCs w:val="32"/>
          <w:shd w:val="clear" w:fill="FFFFFF"/>
        </w:rPr>
        <w:t>坚持以人民为中心的发展思想，持续惠民生解民忧暖民心，不断提升人民群众获得感幸福感安全感。</w:t>
      </w:r>
    </w:p>
    <w:p w14:paraId="3888DE9A">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织密织牢民生防线。</w:t>
      </w:r>
      <w:r>
        <w:rPr>
          <w:rFonts w:hint="eastAsia" w:ascii="仿宋_GB2312" w:hAnsi="仿宋_GB2312" w:eastAsia="仿宋_GB2312" w:cs="仿宋_GB2312"/>
          <w:sz w:val="32"/>
          <w:szCs w:val="32"/>
          <w:lang w:val="en-US" w:eastAsia="zh-CN"/>
        </w:rPr>
        <w:t>落实各项就业创业政策措施，抓好重点群体就业，加强对困难人员就业援助，聚焦低保、五保、孤儿、残疾等特殊困难群体，兜住兜准兜牢民生底线，推进适龄妇女“两癌”免费筛查工作。不断完善社会保障、社会救助体系，持续推进社会保险提标扩面以及社会救助精准化水平。抓好“一老一小”保障，提升养老托育服务水平。加强社保基金风险防范，守护好群众“养老钱”“保命钱”。</w:t>
      </w:r>
      <w:r>
        <w:rPr>
          <w:rFonts w:hint="eastAsia" w:ascii="仿宋_GB2312" w:hAnsi="仿宋_GB2312" w:eastAsia="仿宋_GB2312" w:cs="仿宋_GB2312"/>
          <w:b/>
          <w:bCs/>
          <w:sz w:val="32"/>
          <w:szCs w:val="32"/>
          <w:lang w:val="en-US" w:eastAsia="zh-CN"/>
        </w:rPr>
        <w:t>持续巩固脱贫成效。</w:t>
      </w:r>
      <w:r>
        <w:rPr>
          <w:rFonts w:hint="eastAsia" w:ascii="仿宋_GB2312" w:hAnsi="仿宋_GB2312" w:eastAsia="仿宋_GB2312" w:cs="仿宋_GB2312"/>
          <w:sz w:val="32"/>
          <w:szCs w:val="32"/>
          <w:lang w:val="en-US" w:eastAsia="zh-CN"/>
        </w:rPr>
        <w:t>健全常态化防返贫动态监测帮扶机制，完善分类社会救助体系，发挥“防返贫”兜底保障作用，坚决防止发生规模性返贫。紧盯医疗保障和安全饮水，持续跟踪脱贫人口、监测对象参保和医保政策落实情况，建立健全农村供水工程长效管护机制。聚焦产业发展，发展壮大好村集体经济产业，完善联农带农机制，带动脱贫群众稳定增收。</w:t>
      </w:r>
      <w:r>
        <w:rPr>
          <w:rFonts w:hint="eastAsia" w:ascii="仿宋_GB2312" w:hAnsi="仿宋_GB2312" w:eastAsia="仿宋_GB2312" w:cs="仿宋_GB2312"/>
          <w:b/>
          <w:bCs/>
          <w:sz w:val="32"/>
          <w:szCs w:val="32"/>
          <w:lang w:val="en-US" w:eastAsia="zh-CN"/>
        </w:rPr>
        <w:t>坚持教育优先。</w:t>
      </w:r>
      <w:r>
        <w:rPr>
          <w:rFonts w:hint="eastAsia" w:ascii="仿宋_GB2312" w:hAnsi="仿宋_GB2312" w:eastAsia="仿宋_GB2312" w:cs="仿宋_GB2312"/>
          <w:sz w:val="32"/>
          <w:szCs w:val="32"/>
          <w:lang w:val="en-US" w:eastAsia="zh-CN"/>
        </w:rPr>
        <w:t>不断提升教育公共服务水平，促进教育优质均衡发展，扩大普惠性学前教育资源覆盖面，推进义务教育学校扩容增位。依托教育促进会平台，加大奖教助学力度，加强师德师风教育</w:t>
      </w:r>
      <w:r>
        <w:rPr>
          <w:rFonts w:hint="eastAsia" w:ascii="仿宋_GB2312" w:hAnsi="仿宋_GB2312" w:eastAsia="仿宋_GB2312" w:cs="仿宋_GB2312"/>
          <w:sz w:val="32"/>
          <w:szCs w:val="32"/>
        </w:rPr>
        <w:t>，推进教育优质均衡发展，提升教育教学水平。</w:t>
      </w:r>
    </w:p>
    <w:p w14:paraId="61F7E405">
      <w:pPr>
        <w:keepNext w:val="0"/>
        <w:keepLines w:val="0"/>
        <w:pageBreakBefore w:val="0"/>
        <w:numPr>
          <w:ilvl w:val="0"/>
          <w:numId w:val="2"/>
        </w:numPr>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rPr>
        <w:t>坚持文化赋能，全力以赴打造文旅品牌。</w:t>
      </w:r>
      <w:r>
        <w:rPr>
          <w:rFonts w:ascii="仿宋_GB2312" w:hAnsi="宋体" w:eastAsia="仿宋_GB2312" w:cs="仿宋_GB2312"/>
          <w:i w:val="0"/>
          <w:iCs w:val="0"/>
          <w:caps w:val="0"/>
          <w:color w:val="333333"/>
          <w:spacing w:val="0"/>
          <w:sz w:val="32"/>
          <w:szCs w:val="32"/>
          <w:shd w:val="clear" w:fill="FFFFFF"/>
        </w:rPr>
        <w:t>深挖</w:t>
      </w:r>
      <w:r>
        <w:rPr>
          <w:rFonts w:hint="eastAsia" w:ascii="仿宋_GB2312" w:hAnsi="宋体" w:eastAsia="仿宋_GB2312" w:cs="仿宋_GB2312"/>
          <w:i w:val="0"/>
          <w:iCs w:val="0"/>
          <w:caps w:val="0"/>
          <w:color w:val="333333"/>
          <w:spacing w:val="0"/>
          <w:sz w:val="32"/>
          <w:szCs w:val="32"/>
          <w:shd w:val="clear" w:fill="FFFFFF"/>
          <w:lang w:val="en-US" w:eastAsia="zh-CN"/>
        </w:rPr>
        <w:t>乌塘“六大特色文化”</w:t>
      </w:r>
      <w:r>
        <w:rPr>
          <w:rFonts w:ascii="仿宋_GB2312" w:hAnsi="宋体" w:eastAsia="仿宋_GB2312" w:cs="仿宋_GB2312"/>
          <w:i w:val="0"/>
          <w:iCs w:val="0"/>
          <w:caps w:val="0"/>
          <w:color w:val="333333"/>
          <w:spacing w:val="0"/>
          <w:sz w:val="32"/>
          <w:szCs w:val="32"/>
          <w:shd w:val="clear" w:fill="FFFFFF"/>
        </w:rPr>
        <w:t>资源，推动传统文化创造性转化与创新性发展，</w:t>
      </w:r>
      <w:r>
        <w:rPr>
          <w:rFonts w:hint="eastAsia" w:ascii="仿宋_GB2312" w:hAnsi="宋体" w:eastAsia="仿宋_GB2312" w:cs="仿宋_GB2312"/>
          <w:i w:val="0"/>
          <w:iCs w:val="0"/>
          <w:caps w:val="0"/>
          <w:color w:val="333333"/>
          <w:spacing w:val="0"/>
          <w:sz w:val="32"/>
          <w:szCs w:val="32"/>
          <w:shd w:val="clear" w:fill="FFFFFF"/>
          <w:lang w:val="en-US" w:eastAsia="zh-CN"/>
        </w:rPr>
        <w:t>打响乌塘特色文旅品牌。</w:t>
      </w:r>
    </w:p>
    <w:p w14:paraId="62F8A7EE">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i w:val="0"/>
          <w:iCs w:val="0"/>
          <w:caps w:val="0"/>
          <w:color w:val="333333"/>
          <w:spacing w:val="0"/>
          <w:sz w:val="32"/>
          <w:szCs w:val="32"/>
          <w:shd w:val="clear" w:fill="FFFFFF"/>
        </w:rPr>
        <w:t>激发文化发展内生动力。</w:t>
      </w:r>
      <w:r>
        <w:rPr>
          <w:rFonts w:hint="eastAsia" w:ascii="仿宋_GB2312" w:hAnsi="仿宋_GB2312" w:eastAsia="仿宋_GB2312" w:cs="仿宋_GB2312"/>
          <w:sz w:val="32"/>
          <w:szCs w:val="32"/>
        </w:rPr>
        <w:t>着力提升</w:t>
      </w:r>
      <w:r>
        <w:rPr>
          <w:rFonts w:hint="eastAsia" w:ascii="仿宋_GB2312" w:hAnsi="仿宋_GB2312" w:eastAsia="仿宋_GB2312" w:cs="仿宋_GB2312"/>
          <w:sz w:val="32"/>
          <w:szCs w:val="32"/>
          <w:lang w:val="en-US" w:eastAsia="zh-CN"/>
        </w:rPr>
        <w:t>乌塘</w:t>
      </w:r>
      <w:r>
        <w:rPr>
          <w:rFonts w:hint="eastAsia" w:ascii="仿宋_GB2312" w:hAnsi="仿宋_GB2312" w:eastAsia="仿宋_GB2312" w:cs="仿宋_GB2312"/>
          <w:sz w:val="32"/>
          <w:szCs w:val="32"/>
        </w:rPr>
        <w:t>的内在软实力与美誉度，精心塑造独具</w:t>
      </w:r>
      <w:r>
        <w:rPr>
          <w:rFonts w:hint="eastAsia" w:ascii="仿宋_GB2312" w:hAnsi="仿宋_GB2312" w:eastAsia="仿宋_GB2312" w:cs="仿宋_GB2312"/>
          <w:sz w:val="32"/>
          <w:szCs w:val="32"/>
          <w:lang w:val="en-US" w:eastAsia="zh-CN"/>
        </w:rPr>
        <w:t>乌塘</w:t>
      </w:r>
      <w:r>
        <w:rPr>
          <w:rFonts w:hint="eastAsia" w:ascii="仿宋_GB2312" w:hAnsi="仿宋_GB2312" w:eastAsia="仿宋_GB2312" w:cs="仿宋_GB2312"/>
          <w:sz w:val="32"/>
          <w:szCs w:val="32"/>
        </w:rPr>
        <w:t>特色的文化IP。全方位、深层次探究</w:t>
      </w:r>
      <w:r>
        <w:rPr>
          <w:rFonts w:hint="eastAsia" w:ascii="仿宋_GB2312" w:hAnsi="仿宋_GB2312" w:eastAsia="仿宋_GB2312" w:cs="仿宋_GB2312"/>
          <w:sz w:val="32"/>
          <w:szCs w:val="32"/>
          <w:lang w:val="en-US" w:eastAsia="zh-CN"/>
        </w:rPr>
        <w:t>乌塘</w:t>
      </w:r>
      <w:r>
        <w:rPr>
          <w:rFonts w:hint="eastAsia" w:ascii="仿宋_GB2312" w:hAnsi="仿宋_GB2312" w:eastAsia="仿宋_GB2312" w:cs="仿宋_GB2312"/>
          <w:sz w:val="32"/>
          <w:szCs w:val="32"/>
        </w:rPr>
        <w:t>文化内核，讲</w:t>
      </w:r>
      <w:r>
        <w:rPr>
          <w:rFonts w:hint="eastAsia" w:ascii="仿宋_GB2312" w:hAnsi="仿宋_GB2312" w:eastAsia="仿宋_GB2312" w:cs="仿宋_GB2312"/>
          <w:sz w:val="32"/>
          <w:szCs w:val="32"/>
          <w:lang w:val="en-US" w:eastAsia="zh-CN"/>
        </w:rPr>
        <w:t>好乌塘“六大特色</w:t>
      </w:r>
      <w:r>
        <w:rPr>
          <w:rFonts w:hint="eastAsia" w:ascii="仿宋_GB2312" w:hAnsi="仿宋_GB2312" w:eastAsia="仿宋_GB2312" w:cs="仿宋_GB2312"/>
          <w:sz w:val="32"/>
          <w:szCs w:val="32"/>
        </w:rPr>
        <w:t>文化</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背后的精彩故事。借助</w:t>
      </w:r>
      <w:r>
        <w:rPr>
          <w:rFonts w:hint="eastAsia" w:ascii="仿宋_GB2312" w:hAnsi="仿宋_GB2312" w:eastAsia="仿宋_GB2312" w:cs="仿宋_GB2312"/>
          <w:sz w:val="32"/>
          <w:szCs w:val="32"/>
          <w:lang w:val="en-US" w:eastAsia="zh-CN"/>
        </w:rPr>
        <w:t>小红书等自媒体</w:t>
      </w:r>
      <w:r>
        <w:rPr>
          <w:rFonts w:hint="eastAsia" w:ascii="仿宋_GB2312" w:hAnsi="仿宋_GB2312" w:eastAsia="仿宋_GB2312" w:cs="仿宋_GB2312"/>
          <w:sz w:val="32"/>
          <w:szCs w:val="32"/>
        </w:rPr>
        <w:t>传播浪潮，培育新兴业态，展现乡村文化创新活力。匠心策划并举办</w:t>
      </w:r>
      <w:r>
        <w:rPr>
          <w:rFonts w:hint="eastAsia" w:ascii="仿宋_GB2312" w:hAnsi="仿宋_GB2312" w:eastAsia="仿宋_GB2312" w:cs="仿宋_GB2312"/>
          <w:sz w:val="32"/>
          <w:szCs w:val="32"/>
          <w:lang w:val="en-US" w:eastAsia="zh-CN"/>
        </w:rPr>
        <w:t>荔枝文化节、健步走等</w:t>
      </w:r>
      <w:r>
        <w:rPr>
          <w:rFonts w:hint="eastAsia" w:ascii="仿宋_GB2312" w:hAnsi="仿宋_GB2312" w:eastAsia="仿宋_GB2312" w:cs="仿宋_GB2312"/>
          <w:sz w:val="32"/>
          <w:szCs w:val="32"/>
        </w:rPr>
        <w:t>文旅活动，提升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仙品荔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品牌</w:t>
      </w:r>
      <w:r>
        <w:rPr>
          <w:rFonts w:hint="eastAsia" w:ascii="仿宋_GB2312" w:hAnsi="仿宋_GB2312" w:eastAsia="仿宋_GB2312" w:cs="仿宋_GB2312"/>
          <w:sz w:val="32"/>
          <w:szCs w:val="32"/>
        </w:rPr>
        <w:t>影响力。加大力度、高频次地组织开展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送戏下乡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村BA</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等文体活动，不断挖掘乡村文化潜力，丰富群众的精神文化世界。</w:t>
      </w:r>
      <w:r>
        <w:rPr>
          <w:rFonts w:hint="eastAsia" w:ascii="仿宋_GB2312" w:hAnsi="仿宋_GB2312" w:eastAsia="仿宋_GB2312" w:cs="仿宋_GB2312"/>
          <w:b/>
          <w:bCs/>
          <w:sz w:val="32"/>
          <w:szCs w:val="32"/>
        </w:rPr>
        <w:t>提升文明村镇活动成效。</w:t>
      </w:r>
      <w:r>
        <w:rPr>
          <w:rFonts w:hint="eastAsia" w:ascii="仿宋_GB2312" w:hAnsi="仿宋_GB2312" w:eastAsia="仿宋_GB2312" w:cs="仿宋_GB2312"/>
          <w:sz w:val="32"/>
          <w:szCs w:val="32"/>
        </w:rPr>
        <w:t>弘扬社会美德新风，不断提升</w:t>
      </w:r>
      <w:r>
        <w:rPr>
          <w:rFonts w:hint="eastAsia" w:ascii="仿宋_GB2312" w:hAnsi="仿宋_GB2312" w:eastAsia="仿宋_GB2312" w:cs="仿宋_GB2312"/>
          <w:sz w:val="32"/>
          <w:szCs w:val="32"/>
          <w:lang w:val="en-US" w:eastAsia="zh-CN"/>
        </w:rPr>
        <w:t>居</w:t>
      </w:r>
      <w:r>
        <w:rPr>
          <w:rFonts w:hint="eastAsia" w:ascii="仿宋_GB2312" w:hAnsi="仿宋_GB2312" w:eastAsia="仿宋_GB2312" w:cs="仿宋_GB2312"/>
          <w:sz w:val="32"/>
          <w:szCs w:val="32"/>
        </w:rPr>
        <w:t>民素质。加强乡风文明建设，常态化开展志愿者服务工作，推动辖区党员干部做移风易俗的引领者、践行者、监督者，夯实</w:t>
      </w:r>
      <w:r>
        <w:rPr>
          <w:rFonts w:hint="eastAsia" w:ascii="仿宋_GB2312" w:hAnsi="仿宋_GB2312" w:eastAsia="仿宋_GB2312" w:cs="仿宋_GB2312"/>
          <w:sz w:val="32"/>
          <w:szCs w:val="32"/>
          <w:lang w:val="en-US" w:eastAsia="zh-CN"/>
        </w:rPr>
        <w:t>社会治理德治基础。</w:t>
      </w:r>
    </w:p>
    <w:p w14:paraId="0C0655C7">
      <w:pPr>
        <w:keepNext w:val="0"/>
        <w:keepLines w:val="0"/>
        <w:pageBreakBefore w:val="0"/>
        <w:widowControl/>
        <w:numPr>
          <w:ilvl w:val="0"/>
          <w:numId w:val="2"/>
        </w:numPr>
        <w:suppressLineNumbers w:val="0"/>
        <w:kinsoku/>
        <w:wordWrap/>
        <w:overflowPunct/>
        <w:topLinePunct w:val="0"/>
        <w:autoSpaceDE/>
        <w:autoSpaceDN/>
        <w:bidi w:val="0"/>
        <w:adjustRightInd/>
        <w:snapToGrid/>
        <w:spacing w:line="576" w:lineRule="exact"/>
        <w:ind w:left="0" w:leftChars="0" w:firstLine="643"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楷体_GB2312" w:hAnsi="楷体_GB2312" w:eastAsia="楷体_GB2312" w:cs="楷体_GB2312"/>
          <w:b/>
          <w:bCs/>
          <w:sz w:val="32"/>
          <w:szCs w:val="32"/>
          <w:lang w:val="en-US" w:eastAsia="zh-CN"/>
        </w:rPr>
        <w:t>坚持安全为基，全力以赴维护发展稳定。</w:t>
      </w:r>
      <w:r>
        <w:rPr>
          <w:rFonts w:ascii="仿宋_GB2312" w:hAnsi="宋体" w:eastAsia="仿宋_GB2312" w:cs="仿宋_GB2312"/>
          <w:color w:val="000000"/>
          <w:kern w:val="0"/>
          <w:sz w:val="32"/>
          <w:szCs w:val="32"/>
          <w:lang w:val="en-US" w:eastAsia="zh-CN" w:bidi="ar"/>
        </w:rPr>
        <w:t>统筹好发展</w:t>
      </w:r>
      <w:r>
        <w:rPr>
          <w:rFonts w:hint="eastAsia" w:ascii="仿宋_GB2312" w:hAnsi="宋体" w:eastAsia="仿宋_GB2312" w:cs="仿宋_GB2312"/>
          <w:color w:val="000000"/>
          <w:kern w:val="0"/>
          <w:sz w:val="32"/>
          <w:szCs w:val="32"/>
          <w:lang w:val="en-US" w:eastAsia="zh-CN" w:bidi="ar"/>
        </w:rPr>
        <w:t>和安全，持续提升“平安指数”，构建新安全格局。</w:t>
      </w:r>
    </w:p>
    <w:p w14:paraId="62025ABB">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维护社会安全稳定。</w:t>
      </w:r>
      <w:r>
        <w:rPr>
          <w:rFonts w:hint="eastAsia" w:ascii="仿宋_GB2312" w:hAnsi="仿宋_GB2312" w:eastAsia="仿宋_GB2312" w:cs="仿宋_GB2312"/>
          <w:sz w:val="32"/>
          <w:szCs w:val="32"/>
          <w:lang w:val="en-US" w:eastAsia="zh-CN"/>
        </w:rPr>
        <w:t>深化社会治理补短板三年行动，坚持和发展新时代“枫桥经验”，持续推进“平安夜访”，健全“1+6+N”工作体系，</w:t>
      </w:r>
      <w:r>
        <w:rPr>
          <w:rFonts w:hint="eastAsia" w:ascii="仿宋_GB2312" w:hAnsi="仿宋_GB2312" w:eastAsia="仿宋_GB2312" w:cs="仿宋_GB2312"/>
          <w:sz w:val="32"/>
          <w:szCs w:val="32"/>
        </w:rPr>
        <w:t>严厉打击邪教等非法组织，</w:t>
      </w:r>
      <w:r>
        <w:rPr>
          <w:rFonts w:hint="eastAsia" w:ascii="仿宋_GB2312" w:hAnsi="仿宋_GB2312" w:eastAsia="仿宋_GB2312" w:cs="仿宋_GB2312"/>
          <w:sz w:val="32"/>
          <w:szCs w:val="32"/>
          <w:lang w:val="en-US" w:eastAsia="zh-CN"/>
        </w:rPr>
        <w:t>常态化推进扫黑除恶，</w:t>
      </w:r>
      <w:r>
        <w:rPr>
          <w:rFonts w:hint="eastAsia" w:ascii="仿宋_GB2312" w:hAnsi="仿宋_GB2312" w:eastAsia="仿宋_GB2312" w:cs="仿宋_GB2312"/>
          <w:sz w:val="32"/>
          <w:szCs w:val="32"/>
        </w:rPr>
        <w:t>持续巩固壮大主流思想舆论，牢牢把握意识形态工作领导权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不断提升人民群众安全感和满意度。</w:t>
      </w:r>
      <w:r>
        <w:rPr>
          <w:rFonts w:hint="eastAsia" w:ascii="仿宋_GB2312" w:hAnsi="仿宋_GB2312" w:eastAsia="仿宋_GB2312" w:cs="仿宋_GB2312"/>
          <w:b/>
          <w:bCs/>
          <w:sz w:val="32"/>
          <w:szCs w:val="32"/>
          <w:lang w:val="en-US" w:eastAsia="zh-CN"/>
        </w:rPr>
        <w:t>守牢安全生产底线。</w:t>
      </w:r>
      <w:r>
        <w:rPr>
          <w:rFonts w:hint="eastAsia" w:ascii="仿宋_GB2312" w:hAnsi="仿宋_GB2312" w:eastAsia="仿宋_GB2312" w:cs="仿宋_GB2312"/>
          <w:sz w:val="32"/>
          <w:szCs w:val="32"/>
        </w:rPr>
        <w:t>持续开展安全生产</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rPr>
        <w:t>，聚焦消防、道路交通、城镇燃气等重点</w:t>
      </w:r>
      <w:r>
        <w:rPr>
          <w:rFonts w:hint="eastAsia" w:ascii="仿宋_GB2312" w:hAnsi="仿宋_GB2312" w:eastAsia="仿宋_GB2312" w:cs="仿宋_GB2312"/>
          <w:sz w:val="32"/>
          <w:szCs w:val="32"/>
          <w:lang w:val="en-US" w:eastAsia="zh-CN"/>
        </w:rPr>
        <w:t>领域，常态化开展应急演练。提升应急物资储备能力和保障水平，切实提升基层综合减灾能力，保障人民群众生命财产安全。</w:t>
      </w:r>
    </w:p>
    <w:p w14:paraId="37B5F72A">
      <w:pPr>
        <w:keepNext w:val="0"/>
        <w:keepLines w:val="0"/>
        <w:pageBreakBefore w:val="0"/>
        <w:numPr>
          <w:ilvl w:val="0"/>
          <w:numId w:val="2"/>
        </w:numPr>
        <w:kinsoku/>
        <w:wordWrap/>
        <w:overflowPunct/>
        <w:topLinePunct w:val="0"/>
        <w:autoSpaceDE/>
        <w:autoSpaceDN/>
        <w:bidi w:val="0"/>
        <w:adjustRightInd/>
        <w:snapToGrid/>
        <w:spacing w:line="576"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坚持作风建设，</w:t>
      </w:r>
      <w:r>
        <w:rPr>
          <w:rFonts w:hint="eastAsia" w:ascii="楷体_GB2312" w:hAnsi="楷体_GB2312" w:eastAsia="楷体_GB2312" w:cs="楷体_GB2312"/>
          <w:b/>
          <w:bCs/>
          <w:sz w:val="32"/>
          <w:szCs w:val="32"/>
        </w:rPr>
        <w:t>促进行政效能新提升。</w:t>
      </w:r>
      <w:r>
        <w:rPr>
          <w:rFonts w:hint="eastAsia" w:ascii="仿宋_GB2312" w:hAnsi="仿宋_GB2312" w:eastAsia="仿宋_GB2312" w:cs="仿宋_GB2312"/>
          <w:sz w:val="32"/>
          <w:szCs w:val="32"/>
        </w:rPr>
        <w:t>完善机制强保障，推动审批流程优化与服务效能升级，以制度创新激发干部队伍活力。强化监督问责与正向激励，构建清正廉洁、担当作为的政务生态。</w:t>
      </w:r>
    </w:p>
    <w:p w14:paraId="549E7178">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ascii="楷体" w:hAnsi="楷体" w:eastAsia="楷体" w:cs="楷体"/>
          <w:b/>
          <w:bCs/>
          <w:i w:val="0"/>
          <w:iCs w:val="0"/>
          <w:caps w:val="0"/>
          <w:color w:val="000000"/>
          <w:spacing w:val="0"/>
          <w:sz w:val="32"/>
          <w:szCs w:val="32"/>
          <w:shd w:val="clear" w:fill="FFFFFF"/>
        </w:rPr>
        <w:t>坚持政治引领。</w:t>
      </w:r>
      <w:r>
        <w:rPr>
          <w:rFonts w:hint="eastAsia" w:ascii="仿宋_GB2312" w:hAnsi="仿宋_GB2312" w:eastAsia="仿宋_GB2312" w:cs="仿宋_GB2312"/>
          <w:sz w:val="32"/>
          <w:szCs w:val="32"/>
        </w:rPr>
        <w:t>坚持以习近平新时代中国特色社会主义思想武装头脑、指导实践、推动工作，深入学习贯彻党的二十大和二十届二中、三中全会精神，全面贯彻落实习近平总书记考察</w:t>
      </w:r>
      <w:r>
        <w:rPr>
          <w:rFonts w:hint="eastAsia" w:ascii="仿宋_GB2312" w:hAnsi="仿宋_GB2312" w:eastAsia="仿宋_GB2312" w:cs="仿宋_GB2312"/>
          <w:sz w:val="32"/>
          <w:szCs w:val="32"/>
          <w:lang w:val="en-US" w:eastAsia="zh-CN"/>
        </w:rPr>
        <w:t>广东</w:t>
      </w:r>
      <w:r>
        <w:rPr>
          <w:rFonts w:hint="eastAsia" w:ascii="仿宋_GB2312" w:hAnsi="仿宋_GB2312" w:eastAsia="仿宋_GB2312" w:cs="仿宋_GB2312"/>
          <w:sz w:val="32"/>
          <w:szCs w:val="32"/>
        </w:rPr>
        <w:t>重要讲话精神，深刻领悟“两个确立”的决定性意义，持续增强“四个意识”、坚定“四个自信”、做到“两个维护”，</w:t>
      </w:r>
      <w:r>
        <w:rPr>
          <w:rFonts w:ascii="楷体" w:hAnsi="楷体" w:eastAsia="楷体" w:cs="楷体"/>
          <w:b/>
          <w:bCs/>
          <w:i w:val="0"/>
          <w:iCs w:val="0"/>
          <w:caps w:val="0"/>
          <w:color w:val="000000"/>
          <w:spacing w:val="0"/>
          <w:sz w:val="32"/>
          <w:szCs w:val="32"/>
          <w:shd w:val="clear" w:fill="FFFFFF"/>
        </w:rPr>
        <w:t>坚持依法行政。</w:t>
      </w:r>
      <w:r>
        <w:rPr>
          <w:rFonts w:hint="eastAsia" w:ascii="仿宋_GB2312" w:hAnsi="仿宋_GB2312" w:eastAsia="仿宋_GB2312" w:cs="仿宋_GB2312"/>
          <w:sz w:val="32"/>
          <w:szCs w:val="32"/>
        </w:rPr>
        <w:t>认真贯彻习近平法治思想，全面深化法治政府建设，持续完善并严格落实重大行政决策程序，把法治思维和法治行为贯穿政府工作全过程、各领域；依法接受</w:t>
      </w:r>
      <w:r>
        <w:rPr>
          <w:rFonts w:hint="eastAsia" w:ascii="仿宋_GB2312" w:hAnsi="仿宋_GB2312" w:eastAsia="仿宋_GB2312" w:cs="仿宋_GB2312"/>
          <w:sz w:val="32"/>
          <w:szCs w:val="32"/>
          <w:lang w:val="en-US" w:eastAsia="zh-CN"/>
        </w:rPr>
        <w:t>镇人大</w:t>
      </w:r>
      <w:r>
        <w:rPr>
          <w:rFonts w:hint="eastAsia" w:ascii="仿宋_GB2312" w:hAnsi="仿宋_GB2312" w:eastAsia="仿宋_GB2312" w:cs="仿宋_GB2312"/>
          <w:sz w:val="32"/>
          <w:szCs w:val="32"/>
        </w:rPr>
        <w:t>法律监督和工作监督，高质量办理人大代表建议和政协委员提案。全面推进政务公开，自觉接受社会监督、群众监督，确保行政权力规范透明运行。</w:t>
      </w:r>
      <w:r>
        <w:rPr>
          <w:rFonts w:ascii="楷体" w:hAnsi="楷体" w:eastAsia="楷体" w:cs="楷体"/>
          <w:b/>
          <w:bCs/>
          <w:i w:val="0"/>
          <w:iCs w:val="0"/>
          <w:caps w:val="0"/>
          <w:color w:val="000000"/>
          <w:spacing w:val="0"/>
          <w:sz w:val="32"/>
          <w:szCs w:val="32"/>
          <w:shd w:val="clear" w:fill="FFFFFF"/>
        </w:rPr>
        <w:t>坚持廉洁从政。</w:t>
      </w:r>
      <w:r>
        <w:rPr>
          <w:rFonts w:hint="eastAsia" w:ascii="仿宋_GB2312" w:hAnsi="仿宋_GB2312" w:eastAsia="仿宋_GB2312" w:cs="仿宋_GB2312"/>
          <w:sz w:val="32"/>
          <w:szCs w:val="32"/>
        </w:rPr>
        <w:t>严格落实中央八项规定及其实施细则精神，持续深化纠治“四风”，力戒形式主义、官僚主义。扎实推进政府系统党风廉政建设和反腐败工作。坚持政府过紧日子、群众过好日子，从严控制“三公”经费，集中财力促发展、惠民生。</w:t>
      </w:r>
      <w:r>
        <w:rPr>
          <w:rFonts w:hint="eastAsia" w:ascii="仿宋_GB2312" w:hAnsi="仿宋_GB2312" w:eastAsia="仿宋_GB2312" w:cs="仿宋_GB2312"/>
          <w:b/>
          <w:bCs/>
          <w:sz w:val="32"/>
          <w:szCs w:val="32"/>
          <w:lang w:val="en-US" w:eastAsia="zh-CN"/>
        </w:rPr>
        <w:t>坚持弘扬实干精神。</w:t>
      </w:r>
      <w:r>
        <w:rPr>
          <w:rFonts w:hint="eastAsia" w:ascii="仿宋_GB2312" w:hAnsi="仿宋_GB2312" w:eastAsia="仿宋_GB2312" w:cs="仿宋_GB2312"/>
          <w:sz w:val="32"/>
          <w:szCs w:val="32"/>
          <w:lang w:val="en-US" w:eastAsia="zh-CN"/>
        </w:rPr>
        <w:t>深入开展“干部作风提升年”行动，</w:t>
      </w:r>
      <w:r>
        <w:rPr>
          <w:rFonts w:hint="eastAsia" w:ascii="仿宋_GB2312" w:hAnsi="仿宋_GB2312" w:eastAsia="仿宋_GB2312" w:cs="仿宋_GB2312"/>
          <w:sz w:val="32"/>
          <w:szCs w:val="32"/>
        </w:rPr>
        <w:t>加强政府系统干部队伍能力建设，持续深化党纪学习教育，加大群众身边不正之风和腐败问题集中整治力度，始终保持高压态势，严惩腐败行为，坚决纠正损害群众利益的不正之风。厉行勤俭节约，树立干部清正、政府清廉、政风清明的良好形象。</w:t>
      </w:r>
    </w:p>
    <w:p w14:paraId="5B0438BF">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default" w:ascii="仿宋_GB2312" w:hAnsi="宋体" w:eastAsia="仿宋_GB2312" w:cs="仿宋_GB2312"/>
          <w:color w:val="000000"/>
          <w:kern w:val="0"/>
          <w:sz w:val="32"/>
          <w:szCs w:val="32"/>
          <w:lang w:val="en-US" w:eastAsia="zh-CN" w:bidi="ar"/>
        </w:rPr>
      </w:pPr>
      <w:r>
        <w:rPr>
          <w:rFonts w:hint="eastAsia" w:ascii="仿宋_GB2312" w:hAnsi="仿宋_GB2312" w:eastAsia="仿宋_GB2312" w:cs="仿宋_GB2312"/>
          <w:sz w:val="32"/>
          <w:szCs w:val="32"/>
          <w:lang w:val="en-US" w:eastAsia="zh-CN"/>
        </w:rPr>
        <w:t>各位代表！</w:t>
      </w:r>
      <w:r>
        <w:rPr>
          <w:rFonts w:hint="eastAsia" w:ascii="仿宋_GB2312" w:hAnsi="仿宋_GB2312" w:eastAsia="仿宋_GB2312" w:cs="仿宋_GB2312"/>
          <w:i w:val="0"/>
          <w:iCs w:val="0"/>
          <w:caps w:val="0"/>
          <w:color w:val="000000"/>
          <w:spacing w:val="0"/>
          <w:sz w:val="32"/>
          <w:szCs w:val="32"/>
          <w:shd w:val="clear" w:fill="FFFFFF"/>
        </w:rPr>
        <w:t>风正时济，自当破浪前行；任重道远，更需快马加鞭。</w:t>
      </w:r>
      <w:r>
        <w:rPr>
          <w:rFonts w:hint="eastAsia" w:ascii="仿宋_GB2312" w:hAnsi="仿宋_GB2312" w:eastAsia="仿宋_GB2312" w:cs="仿宋_GB2312"/>
          <w:color w:val="000000"/>
          <w:kern w:val="0"/>
          <w:sz w:val="32"/>
          <w:szCs w:val="32"/>
          <w:lang w:val="en-US" w:eastAsia="zh-CN" w:bidi="ar"/>
        </w:rPr>
        <w:t>站在“十四五”规划圆满收官与“十五五”规划扬帆启航的历史交汇点上，我们既是伟大时代的见证者，更是壮阔征途的参与者。让我们更加紧密地团结在以习近平同志为核心的党中央周围，在镇党委的正确领导下，以更加饱满的热情、更加昂扬的斗志、更加扎实的工作，携手共进，开</w:t>
      </w:r>
      <w:r>
        <w:rPr>
          <w:rFonts w:hint="eastAsia" w:ascii="仿宋_GB2312" w:hAnsi="宋体" w:eastAsia="仿宋_GB2312" w:cs="仿宋_GB2312"/>
          <w:color w:val="000000"/>
          <w:kern w:val="0"/>
          <w:sz w:val="32"/>
          <w:szCs w:val="32"/>
          <w:lang w:val="en-US" w:eastAsia="zh-CN" w:bidi="ar"/>
        </w:rPr>
        <w:t>拓创新，为建设富裕美丽、和谐幸福的新乌塘而努力奋斗！</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AAFF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C5332F">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9C5332F">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6F81E7"/>
    <w:multiLevelType w:val="singleLevel"/>
    <w:tmpl w:val="B56F81E7"/>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1">
    <w:nsid w:val="BC47AEA3"/>
    <w:multiLevelType w:val="singleLevel"/>
    <w:tmpl w:val="BC47AEA3"/>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0B771A"/>
    <w:rsid w:val="00D241C2"/>
    <w:rsid w:val="06AE0FF2"/>
    <w:rsid w:val="14382F65"/>
    <w:rsid w:val="188C387F"/>
    <w:rsid w:val="197D6AB5"/>
    <w:rsid w:val="1BC26B04"/>
    <w:rsid w:val="227656B5"/>
    <w:rsid w:val="24A953FE"/>
    <w:rsid w:val="260B771A"/>
    <w:rsid w:val="2A4159B3"/>
    <w:rsid w:val="2CFC6DCE"/>
    <w:rsid w:val="2D8748E9"/>
    <w:rsid w:val="38351008"/>
    <w:rsid w:val="3A79380C"/>
    <w:rsid w:val="3D5F10F0"/>
    <w:rsid w:val="401F09B1"/>
    <w:rsid w:val="418840B0"/>
    <w:rsid w:val="439E0787"/>
    <w:rsid w:val="4E3052B4"/>
    <w:rsid w:val="582D62F5"/>
    <w:rsid w:val="68465D84"/>
    <w:rsid w:val="69050340"/>
    <w:rsid w:val="6BBB45E5"/>
    <w:rsid w:val="6F6E3006"/>
    <w:rsid w:val="6FE23626"/>
    <w:rsid w:val="73DF36C2"/>
    <w:rsid w:val="7A357AFF"/>
    <w:rsid w:val="7C8A4E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tLeas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7066</Words>
  <Characters>7281</Characters>
  <Lines>0</Lines>
  <Paragraphs>0</Paragraphs>
  <TotalTime>6</TotalTime>
  <ScaleCrop>false</ScaleCrop>
  <LinksUpToDate>false</LinksUpToDate>
  <CharactersWithSpaces>7282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2025-03-20T03:47:00Z</dcterms:created>
  <dc:creator>锋</dc:creator>
  <cp:lastModifiedBy>锋</cp:lastModifiedBy>
  <cp:lastPrinted>2025-04-11T03:23:00Z</cp:lastPrinted>
  <dcterms:modified xsi:type="dcterms:W3CDTF">2025-05-08T03:54:30Z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CB6F308C665948A9A1E348F7FED19092_11</vt:lpwstr>
  </property>
  <property fmtid="{D5CDD505-2E9C-101B-9397-08002B2CF9AE}" pid="4" name="KSOTemplateDocerSaveRecord">
    <vt:lpwstr>eyJoZGlkIjoiMmE2Mjg3YjVmZjg4YjEyYTQ1NGJjMmI4NWI1N2NmMWIiLCJ1c2VySWQiOiIxMTcxMTU3NzYxIn0=</vt:lpwstr>
  </property>
</Properties>
</file>