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用人单位职业病危害综合风险评估方法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_GB2312" w:cs="等线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用人单位根据职业病危害风险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分级</w:t>
      </w:r>
      <w:r>
        <w:rPr>
          <w:rFonts w:hint="eastAsia" w:ascii="仿宋_GB2312" w:hAnsi="仿宋_GB2312" w:eastAsia="仿宋_GB2312" w:cs="仿宋_GB2312"/>
          <w:sz w:val="32"/>
          <w:szCs w:val="32"/>
        </w:rPr>
        <w:t>和职业卫生管理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状况</w:t>
      </w:r>
      <w:r>
        <w:rPr>
          <w:rFonts w:hint="eastAsia" w:ascii="仿宋_GB2312" w:hAnsi="仿宋_GB2312" w:eastAsia="仿宋_GB2312" w:cs="仿宋_GB2312"/>
          <w:sz w:val="32"/>
          <w:szCs w:val="32"/>
        </w:rPr>
        <w:t>分级结果评估职业病危害综合风险类别，分为甲类、乙类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三类风险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，其中甲类风险最低，丙类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</w:rPr>
        <w:t>最高。具体方法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用人单位职业病危害综合风险评估方法</w:t>
      </w:r>
    </w:p>
    <w:p>
      <w:pPr>
        <w:pStyle w:val="3"/>
        <w:rPr>
          <w:rFonts w:hint="eastAsia"/>
        </w:rPr>
      </w:pPr>
    </w:p>
    <w:tbl>
      <w:tblPr>
        <w:tblStyle w:val="4"/>
        <w:tblW w:w="490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113"/>
        <w:gridCol w:w="1938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tblHeader/>
          <w:jc w:val="center"/>
        </w:trPr>
        <w:tc>
          <w:tcPr>
            <w:tcW w:w="14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职业卫生管理状况等级</w:t>
            </w:r>
          </w:p>
        </w:tc>
        <w:tc>
          <w:tcPr>
            <w:tcW w:w="35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职业病危害风险等级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tblHeader/>
          <w:jc w:val="center"/>
        </w:trPr>
        <w:tc>
          <w:tcPr>
            <w:tcW w:w="144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Ⅰ级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Ⅱ级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Ⅲ级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A级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B级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甲类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C级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乙类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丙类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NzZmYTYyM2IyYzBmY2FiMjZiNzlhMjAxNGJlZGQifQ=="/>
  </w:docVars>
  <w:rsids>
    <w:rsidRoot w:val="00000000"/>
    <w:rsid w:val="3B7FE0EC"/>
    <w:rsid w:val="3EAB0813"/>
    <w:rsid w:val="4FF52F8E"/>
    <w:rsid w:val="BFFFD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3">
    <w:name w:val="Body Text First Indent"/>
    <w:basedOn w:val="2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江卓莹</cp:lastModifiedBy>
  <dcterms:modified xsi:type="dcterms:W3CDTF">2022-12-08T07:24:38Z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82B62A43C881428F9228EA3DD067C73C</vt:lpwstr>
  </property>
</Properties>
</file>