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u w:val="none"/>
          <w:lang w:val="en-US" w:eastAsia="zh-CN"/>
        </w:rPr>
        <w:t>遂城街道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2024年村（社区）后备干部招录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报名登记表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3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975"/>
        <w:gridCol w:w="999"/>
        <w:gridCol w:w="1333"/>
        <w:gridCol w:w="122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036" w:type="dxa"/>
            <w:gridSpan w:val="5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湛江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遂溪县        镇（街道）        村（社区）</w:t>
            </w: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firstLine="112" w:firstLineChars="50"/>
              <w:jc w:val="both"/>
              <w:rPr>
                <w:rFonts w:ascii="仿宋_GB2312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1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是否服从镇（街道）内调配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2024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327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MDM5NDQyZmZjMjM1MGM4ODJkOWM2M2FlYmMyM2UifQ=="/>
  </w:docVars>
  <w:rsids>
    <w:rsidRoot w:val="2E7310E8"/>
    <w:rsid w:val="01D625F0"/>
    <w:rsid w:val="2E7310E8"/>
    <w:rsid w:val="38C2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2024-05-08T03:33:00Z</dcterms:created>
  <dc:creator>我又不乱来</dc:creator>
  <cp:lastModifiedBy>我又不乱来</cp:lastModifiedBy>
  <dcterms:modified xsi:type="dcterms:W3CDTF">2024-05-09T03:51:06Z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B3C549BB9DEC4A56A7960839AC9D83E2_11</vt:lpwstr>
  </property>
</Properties>
</file>