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207C1">
      <w:pPr>
        <w:jc w:val="center"/>
        <w:rPr>
          <w:rFonts w:hint="eastAsia" w:ascii="方正小标宋简体" w:hAnsi="Calibri" w:eastAsia="方正小标宋简体" w:cs="Times New Roman"/>
          <w:sz w:val="52"/>
          <w:szCs w:val="52"/>
          <w:lang w:val="en-US" w:eastAsia="zh-CN"/>
        </w:rPr>
      </w:pPr>
      <w:r>
        <w:rPr>
          <w:rFonts w:hint="eastAsia" w:ascii="方正小标宋简体" w:hAnsi="Calibri" w:eastAsia="方正小标宋简体" w:cs="Times New Roman"/>
          <w:sz w:val="52"/>
          <w:szCs w:val="52"/>
          <w:lang w:val="en-US" w:eastAsia="zh-CN"/>
        </w:rPr>
        <w:t>中国移动湛江分公司助力遂溪县</w:t>
      </w:r>
    </w:p>
    <w:p w14:paraId="103F274B">
      <w:pPr>
        <w:jc w:val="center"/>
        <w:rPr>
          <w:rFonts w:hint="eastAsia" w:ascii="方正小标宋简体" w:hAnsi="Calibri" w:eastAsia="方正小标宋简体" w:cs="Times New Roman"/>
          <w:sz w:val="52"/>
          <w:szCs w:val="52"/>
          <w:lang w:val="en-US" w:eastAsia="zh-CN"/>
        </w:rPr>
      </w:pPr>
      <w:r>
        <w:rPr>
          <w:rFonts w:hint="eastAsia" w:ascii="方正小标宋简体" w:hAnsi="Calibri" w:eastAsia="方正小标宋简体" w:cs="Times New Roman"/>
          <w:sz w:val="52"/>
          <w:szCs w:val="52"/>
          <w:lang w:val="en-US" w:eastAsia="zh-CN"/>
        </w:rPr>
        <w:t>“百县千镇万村高质量发展工程”</w:t>
      </w:r>
    </w:p>
    <w:p w14:paraId="04DD59D6">
      <w:pPr>
        <w:rPr>
          <w:rFonts w:asciiTheme="minorEastAsia" w:hAnsiTheme="minorEastAsia" w:cstheme="minorEastAsia"/>
        </w:rPr>
      </w:pPr>
      <w:r>
        <w:rPr>
          <w:rFonts w:hint="eastAsia" w:asciiTheme="minorEastAsia" w:hAnsiTheme="minorEastAsia" w:cstheme="minorEastAsia"/>
        </w:rPr>
        <w:t xml:space="preserve"> </w:t>
      </w:r>
    </w:p>
    <w:p w14:paraId="4643D939">
      <w:pPr>
        <w:rPr>
          <w:rFonts w:asciiTheme="minorEastAsia" w:hAnsiTheme="minorEastAsia" w:cstheme="minorEastAsia"/>
        </w:rPr>
      </w:pPr>
    </w:p>
    <w:p w14:paraId="1A09E79D">
      <w:pPr>
        <w:rPr>
          <w:rFonts w:asciiTheme="minorEastAsia" w:hAnsiTheme="minorEastAsia" w:cstheme="minorEastAsia"/>
        </w:rPr>
      </w:pPr>
    </w:p>
    <w:p w14:paraId="596D91C1">
      <w:pPr>
        <w:rPr>
          <w:rFonts w:asciiTheme="minorEastAsia" w:hAnsiTheme="minorEastAsia" w:cstheme="minorEastAsia"/>
        </w:rPr>
      </w:pPr>
    </w:p>
    <w:p w14:paraId="2E28E315">
      <w:pPr>
        <w:rPr>
          <w:rFonts w:asciiTheme="minorEastAsia" w:hAnsiTheme="minorEastAsia" w:cstheme="minorEastAsia"/>
        </w:rPr>
      </w:pPr>
      <w:r>
        <w:rPr>
          <w:rFonts w:asciiTheme="minorEastAsia" w:hAnsiTheme="minorEastAsia" w:cstheme="minorEastAsia"/>
        </w:rPr>
        <w:pict>
          <v:shape id="_x0000_s1026" o:spid="_x0000_s1026" o:spt="202" type="#_x0000_t202" style="position:absolute;left:0pt;margin-left:166.5pt;margin-top:14.85pt;height:212.6pt;width:144pt;mso-wrap-distance-bottom:0pt;mso-wrap-distance-left:9pt;mso-wrap-distance-right:9pt;mso-wrap-distance-top:0pt;z-index:251659264;mso-width-relative:page;mso-height-relative:page;" filled="f" stroked="f" coordsize="21600,21600">
            <v:path/>
            <v:fill on="f" focussize="0,0"/>
            <v:stroke on="f" weight="0.5pt"/>
            <v:imagedata o:title=""/>
            <o:lock v:ext="edit" aspectratio="f"/>
            <v:textbox style="layout-flow:vertical-ideographic;mso-fit-shape-to-text:t;">
              <w:txbxContent>
                <w:p w14:paraId="3C83446E">
                  <w:pPr>
                    <w:jc w:val="center"/>
                    <w:rPr>
                      <w:sz w:val="60"/>
                      <w:szCs w:val="112"/>
                    </w:rPr>
                  </w:pPr>
                  <w:r>
                    <w:rPr>
                      <w:rFonts w:hint="eastAsia" w:ascii="方正小标宋简体" w:hAnsi="Calibri" w:eastAsia="方正小标宋简体" w:cs="Times New Roman"/>
                      <w:sz w:val="60"/>
                      <w:szCs w:val="60"/>
                    </w:rPr>
                    <w:t>框架协议</w:t>
                  </w:r>
                </w:p>
              </w:txbxContent>
            </v:textbox>
            <w10:wrap type="square"/>
          </v:shape>
        </w:pict>
      </w:r>
    </w:p>
    <w:p w14:paraId="33793EB3">
      <w:pPr>
        <w:rPr>
          <w:rFonts w:asciiTheme="minorEastAsia" w:hAnsiTheme="minorEastAsia" w:cstheme="minorEastAsia"/>
        </w:rPr>
      </w:pPr>
    </w:p>
    <w:p w14:paraId="32D36BCA">
      <w:pPr>
        <w:rPr>
          <w:rFonts w:asciiTheme="minorEastAsia" w:hAnsiTheme="minorEastAsia" w:cstheme="minorEastAsia"/>
        </w:rPr>
      </w:pPr>
    </w:p>
    <w:p w14:paraId="5D8D67A8">
      <w:pPr>
        <w:rPr>
          <w:rFonts w:asciiTheme="minorEastAsia" w:hAnsiTheme="minorEastAsia" w:cstheme="minorEastAsia"/>
        </w:rPr>
      </w:pPr>
    </w:p>
    <w:p w14:paraId="5266274B">
      <w:pPr>
        <w:rPr>
          <w:rFonts w:asciiTheme="minorEastAsia" w:hAnsiTheme="minorEastAsia" w:cstheme="minorEastAsia"/>
        </w:rPr>
      </w:pPr>
    </w:p>
    <w:p w14:paraId="49E68A38">
      <w:pPr>
        <w:rPr>
          <w:rFonts w:asciiTheme="minorEastAsia" w:hAnsiTheme="minorEastAsia" w:cstheme="minorEastAsia"/>
        </w:rPr>
      </w:pPr>
    </w:p>
    <w:p w14:paraId="0632CD8E">
      <w:pPr>
        <w:rPr>
          <w:rFonts w:asciiTheme="minorEastAsia" w:hAnsiTheme="minorEastAsia" w:cstheme="minorEastAsia"/>
        </w:rPr>
      </w:pPr>
    </w:p>
    <w:p w14:paraId="71150E35">
      <w:pPr>
        <w:rPr>
          <w:rFonts w:asciiTheme="minorEastAsia" w:hAnsiTheme="minorEastAsia" w:cstheme="minorEastAsia"/>
        </w:rPr>
      </w:pPr>
    </w:p>
    <w:p w14:paraId="6490F92A">
      <w:pPr>
        <w:rPr>
          <w:rFonts w:asciiTheme="minorEastAsia" w:hAnsiTheme="minorEastAsia" w:cstheme="minorEastAsia"/>
        </w:rPr>
      </w:pPr>
    </w:p>
    <w:p w14:paraId="7654FFE4">
      <w:pPr>
        <w:rPr>
          <w:rFonts w:asciiTheme="minorEastAsia" w:hAnsiTheme="minorEastAsia" w:cstheme="minorEastAsia"/>
        </w:rPr>
      </w:pPr>
    </w:p>
    <w:p w14:paraId="698F1855">
      <w:pPr>
        <w:rPr>
          <w:rFonts w:asciiTheme="minorEastAsia" w:hAnsiTheme="minorEastAsia" w:cstheme="minorEastAsia"/>
        </w:rPr>
      </w:pPr>
    </w:p>
    <w:p w14:paraId="7715C820">
      <w:pPr>
        <w:rPr>
          <w:rFonts w:asciiTheme="minorEastAsia" w:hAnsiTheme="minorEastAsia" w:cstheme="minorEastAsia"/>
        </w:rPr>
      </w:pPr>
    </w:p>
    <w:p w14:paraId="38DAC4DA">
      <w:pPr>
        <w:rPr>
          <w:rFonts w:asciiTheme="minorEastAsia" w:hAnsiTheme="minorEastAsia" w:cstheme="minorEastAsia"/>
        </w:rPr>
      </w:pPr>
    </w:p>
    <w:p w14:paraId="54DF4D51">
      <w:pPr>
        <w:rPr>
          <w:rFonts w:asciiTheme="minorEastAsia" w:hAnsiTheme="minorEastAsia" w:cstheme="minorEastAsia"/>
        </w:rPr>
      </w:pPr>
    </w:p>
    <w:p w14:paraId="673B8787">
      <w:pPr>
        <w:rPr>
          <w:rFonts w:asciiTheme="minorEastAsia" w:hAnsiTheme="minorEastAsia" w:cstheme="minorEastAsia"/>
        </w:rPr>
      </w:pPr>
    </w:p>
    <w:p w14:paraId="24FD6A27">
      <w:pPr>
        <w:rPr>
          <w:rFonts w:asciiTheme="minorEastAsia" w:hAnsiTheme="minorEastAsia" w:cstheme="minorEastAsia"/>
        </w:rPr>
      </w:pPr>
    </w:p>
    <w:p w14:paraId="2717B009">
      <w:pPr>
        <w:rPr>
          <w:rFonts w:asciiTheme="minorEastAsia" w:hAnsiTheme="minorEastAsia" w:cstheme="minorEastAsia"/>
        </w:rPr>
      </w:pPr>
    </w:p>
    <w:p w14:paraId="70B9700B">
      <w:pPr>
        <w:rPr>
          <w:rFonts w:asciiTheme="minorEastAsia" w:hAnsiTheme="minorEastAsia" w:cstheme="minorEastAsia"/>
        </w:rPr>
      </w:pPr>
    </w:p>
    <w:p w14:paraId="324F3BFC">
      <w:pPr>
        <w:rPr>
          <w:rFonts w:asciiTheme="minorEastAsia" w:hAnsiTheme="minorEastAsia" w:cstheme="minorEastAsia"/>
        </w:rPr>
      </w:pPr>
    </w:p>
    <w:p w14:paraId="0BD21F7B">
      <w:pPr>
        <w:rPr>
          <w:rFonts w:asciiTheme="minorEastAsia" w:hAnsiTheme="minorEastAsia" w:cstheme="minorEastAsia"/>
        </w:rPr>
      </w:pPr>
    </w:p>
    <w:p w14:paraId="34894DF9">
      <w:pPr>
        <w:rPr>
          <w:rFonts w:asciiTheme="minorEastAsia" w:hAnsiTheme="minorEastAsia" w:cstheme="minorEastAsia"/>
        </w:rPr>
      </w:pPr>
    </w:p>
    <w:p w14:paraId="127CFB38">
      <w:pPr>
        <w:rPr>
          <w:rFonts w:asciiTheme="minorEastAsia" w:hAnsiTheme="minorEastAsia" w:cstheme="minorEastAsia"/>
        </w:rPr>
      </w:pPr>
    </w:p>
    <w:p w14:paraId="721E17BD">
      <w:pPr>
        <w:rPr>
          <w:rFonts w:asciiTheme="minorEastAsia" w:hAnsiTheme="minorEastAsia" w:cstheme="minorEastAsia"/>
        </w:rPr>
      </w:pPr>
    </w:p>
    <w:p w14:paraId="7898F3B1">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遂溪县</w:t>
      </w:r>
    </w:p>
    <w:p w14:paraId="5578706F">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202</w:t>
      </w:r>
      <w:r>
        <w:rPr>
          <w:rFonts w:hint="eastAsia" w:ascii="黑体" w:hAnsi="黑体" w:eastAsia="黑体" w:cs="黑体"/>
          <w:sz w:val="36"/>
          <w:szCs w:val="36"/>
          <w:lang w:val="en-US" w:eastAsia="zh-CN"/>
        </w:rPr>
        <w:t>5</w:t>
      </w:r>
      <w:r>
        <w:rPr>
          <w:rFonts w:hint="eastAsia" w:ascii="黑体" w:hAnsi="黑体" w:eastAsia="黑体" w:cs="黑体"/>
          <w:sz w:val="36"/>
          <w:szCs w:val="36"/>
          <w:lang w:eastAsia="zh-CN"/>
        </w:rPr>
        <w:t>年 月</w:t>
      </w:r>
    </w:p>
    <w:p w14:paraId="4C44CAD0">
      <w:pPr>
        <w:rPr>
          <w:rFonts w:asciiTheme="minorEastAsia" w:hAnsiTheme="minorEastAsia" w:cstheme="minorEastAsia"/>
        </w:rPr>
      </w:pPr>
      <w:r>
        <w:rPr>
          <w:rFonts w:hint="eastAsia" w:asciiTheme="minorEastAsia" w:hAnsiTheme="minorEastAsia" w:cstheme="minorEastAsia"/>
        </w:rPr>
        <w:t xml:space="preserve"> </w:t>
      </w:r>
    </w:p>
    <w:p w14:paraId="5D4983F5">
      <w:pPr>
        <w:rPr>
          <w:rFonts w:hint="eastAsia" w:ascii="黑体" w:hAnsi="黑体" w:eastAsia="黑体" w:cs="黑体"/>
          <w:sz w:val="32"/>
          <w:szCs w:val="32"/>
        </w:rPr>
      </w:pPr>
      <w:r>
        <w:rPr>
          <w:rFonts w:hint="eastAsia" w:asciiTheme="minorEastAsia" w:hAnsiTheme="minorEastAsia" w:cstheme="minorEastAsia"/>
        </w:rPr>
        <w:br w:type="page"/>
      </w:r>
    </w:p>
    <w:p w14:paraId="58482B70">
      <w:pPr>
        <w:keepNext w:val="0"/>
        <w:keepLines w:val="0"/>
        <w:pageBreakBefore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eastAsia="方正小标宋简体"/>
          <w:sz w:val="44"/>
          <w:szCs w:val="44"/>
          <w:lang w:val="en-US" w:eastAsia="zh-CN"/>
        </w:rPr>
        <w:t>中国移动湛江分公司</w:t>
      </w:r>
      <w:r>
        <w:rPr>
          <w:rFonts w:hint="eastAsia" w:ascii="方正小标宋简体" w:eastAsia="方正小标宋简体"/>
          <w:sz w:val="44"/>
          <w:szCs w:val="44"/>
        </w:rPr>
        <w:t>助力</w:t>
      </w:r>
      <w:r>
        <w:rPr>
          <w:rFonts w:hint="eastAsia" w:ascii="方正小标宋简体" w:hAnsi="方正小标宋简体" w:eastAsia="方正小标宋简体" w:cs="方正小标宋简体"/>
          <w:sz w:val="44"/>
          <w:szCs w:val="44"/>
          <w:lang w:eastAsia="zh-CN"/>
        </w:rPr>
        <w:t>遂溪县</w:t>
      </w:r>
      <w:r>
        <w:rPr>
          <w:rFonts w:hint="eastAsia" w:ascii="方正小标宋简体" w:hAnsi="方正小标宋简体" w:eastAsia="方正小标宋简体" w:cs="方正小标宋简体"/>
          <w:sz w:val="44"/>
          <w:szCs w:val="44"/>
        </w:rPr>
        <w:t>“百县千镇万村高质量发展工程”框架协议</w:t>
      </w:r>
    </w:p>
    <w:p w14:paraId="35423B59">
      <w:pPr>
        <w:spacing w:line="360" w:lineRule="auto"/>
        <w:jc w:val="center"/>
        <w:rPr>
          <w:rFonts w:hint="eastAsia" w:ascii="楷体" w:hAnsi="楷体" w:eastAsia="楷体" w:cs="楷体"/>
          <w:b/>
          <w:bCs/>
          <w:sz w:val="36"/>
          <w:szCs w:val="36"/>
          <w:lang w:eastAsia="zh-CN"/>
        </w:rPr>
      </w:pPr>
      <w:r>
        <w:rPr>
          <w:rFonts w:hint="eastAsia" w:ascii="楷体" w:hAnsi="楷体" w:eastAsia="楷体" w:cs="楷体"/>
          <w:b w:val="0"/>
          <w:bCs w:val="0"/>
          <w:sz w:val="36"/>
          <w:szCs w:val="36"/>
          <w:lang w:eastAsia="zh-CN"/>
        </w:rPr>
        <w:t>（</w:t>
      </w:r>
      <w:r>
        <w:rPr>
          <w:rFonts w:hint="eastAsia" w:ascii="楷体" w:hAnsi="楷体" w:eastAsia="楷体" w:cs="楷体"/>
          <w:b w:val="0"/>
          <w:bCs w:val="0"/>
          <w:sz w:val="36"/>
          <w:szCs w:val="36"/>
          <w:lang w:val="en-US" w:eastAsia="zh-CN"/>
        </w:rPr>
        <w:t>送审稿</w:t>
      </w:r>
      <w:r>
        <w:rPr>
          <w:rFonts w:hint="eastAsia" w:ascii="楷体" w:hAnsi="楷体" w:eastAsia="楷体" w:cs="楷体"/>
          <w:b w:val="0"/>
          <w:bCs w:val="0"/>
          <w:sz w:val="36"/>
          <w:szCs w:val="36"/>
          <w:lang w:eastAsia="zh-CN"/>
        </w:rPr>
        <w:t>）</w:t>
      </w:r>
    </w:p>
    <w:p w14:paraId="22A0231E">
      <w:pPr>
        <w:spacing w:line="360" w:lineRule="auto"/>
        <w:jc w:val="center"/>
        <w:rPr>
          <w:rFonts w:hint="eastAsia" w:asciiTheme="minorEastAsia" w:hAnsiTheme="minorEastAsia" w:cstheme="minorEastAsia"/>
          <w:b/>
          <w:bCs/>
          <w:sz w:val="32"/>
          <w:szCs w:val="32"/>
          <w:lang w:eastAsia="zh-CN"/>
        </w:rPr>
      </w:pPr>
    </w:p>
    <w:p w14:paraId="5BC8FB84">
      <w:pPr>
        <w:spacing w:line="360" w:lineRule="auto"/>
        <w:rPr>
          <w:rFonts w:asciiTheme="minorEastAsia" w:hAnsiTheme="minorEastAsia" w:cstheme="minorEastAsia"/>
          <w:b/>
          <w:bCs/>
          <w:sz w:val="32"/>
          <w:szCs w:val="32"/>
        </w:rPr>
      </w:pPr>
      <w:r>
        <w:rPr>
          <w:rFonts w:hint="eastAsia" w:asciiTheme="minorEastAsia" w:hAnsiTheme="minorEastAsia" w:cstheme="minorEastAsia"/>
          <w:b/>
          <w:bCs/>
          <w:sz w:val="32"/>
          <w:szCs w:val="32"/>
        </w:rPr>
        <w:t>甲方：遂溪县人民政府</w:t>
      </w:r>
    </w:p>
    <w:p w14:paraId="0861C60A">
      <w:pPr>
        <w:widowControl/>
        <w:spacing w:line="640" w:lineRule="exact"/>
        <w:jc w:val="left"/>
        <w:rPr>
          <w:rFonts w:asciiTheme="minorEastAsia" w:hAnsiTheme="minorEastAsia" w:cstheme="minorEastAsia"/>
          <w:b/>
          <w:bCs/>
          <w:sz w:val="30"/>
          <w:szCs w:val="30"/>
        </w:rPr>
      </w:pPr>
      <w:r>
        <w:rPr>
          <w:rFonts w:hint="eastAsia" w:asciiTheme="minorEastAsia" w:hAnsiTheme="minorEastAsia" w:cstheme="minorEastAsia"/>
          <w:b/>
          <w:bCs/>
          <w:sz w:val="32"/>
          <w:szCs w:val="32"/>
        </w:rPr>
        <w:t>乙方：中国移动通信集团广东有限公司湛江分公司</w:t>
      </w:r>
    </w:p>
    <w:p w14:paraId="12FC23F5">
      <w:pPr>
        <w:spacing w:line="360" w:lineRule="auto"/>
        <w:rPr>
          <w:rFonts w:asciiTheme="minorEastAsia" w:hAnsiTheme="minorEastAsia" w:cstheme="minorEastAsia"/>
          <w:sz w:val="30"/>
          <w:szCs w:val="30"/>
        </w:rPr>
      </w:pPr>
    </w:p>
    <w:p w14:paraId="0BD9C99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根据《中共广东省委关于实施“百县千镇万村高质量发展工程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城乡区域协调发展的决定》、《关于推动央企助力“百县千镇万村高质量发展工程”工作方案》，甲、乙双方经过充分沟通、交流，在平等自愿、互惠互利、共同促进和共同发展的前提下，决定建立稳定合作关系，并针对“百县千镇万村高质量发展工程”（以下简称“百千万工程”）达成以下协议：</w:t>
      </w:r>
    </w:p>
    <w:p w14:paraId="252BBBD0">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一、合作原则</w:t>
      </w:r>
    </w:p>
    <w:p w14:paraId="188FEC3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深入学习贯彻习近平总书记关于推动高质量发展的重要论述精神，落实省委、省政府“百千万工程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相关决策部署，甲、乙双方坚持优势互补、平等合作、依法合规、共建共荣原则，共同推动“百千万工程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建设加力提速，建设焕然一新的县镇村，奋力开创城乡区域协调发展新局面。乙方将以“实事求是，量力而为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力所能及，尽力而为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诚信担当，全力以赴”的工作原则，进一步投身于遂溪县“百千万工程”建设中。</w:t>
      </w:r>
    </w:p>
    <w:p w14:paraId="43A7E6F0">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二、合作范围</w:t>
      </w:r>
    </w:p>
    <w:p w14:paraId="0102D15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根据省“百千万工程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指挥部相关文件精神，聚焦“联镇带村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连片环境品质整体提升，重点包括美丽圩镇“七个一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建设、县城环境整体提升、县镇村基础设施和环境提升、县风貌管控提升示范带、县重大基础设施及水利工程等助力项目。在完成202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年度建设任务的基础上，双方愿意进一步开拓思路，在域内部分高标准农田建设、储备林和林下经济、生态环境提升，县镇村农田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水利工程、道路交通、绿化等基础设施，康养旅游、电商产业园、工业化厂房雨污水改造治理、垃圾发电等重点领域开展全方位深度合作，深入久久为功助力“百千万工程”，共同推动遂溪县高质量发展。</w:t>
      </w:r>
    </w:p>
    <w:p w14:paraId="32F2CBE9">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val="en-US" w:eastAsia="zh-CN" w:bidi="ar"/>
        </w:rPr>
        <w:t>三、</w:t>
      </w:r>
      <w:r>
        <w:rPr>
          <w:rFonts w:hint="eastAsia" w:ascii="黑体" w:hAnsi="黑体" w:eastAsia="黑体" w:cs="黑体"/>
          <w:color w:val="000000"/>
          <w:kern w:val="0"/>
          <w:sz w:val="32"/>
          <w:szCs w:val="32"/>
          <w:lang w:bidi="ar"/>
        </w:rPr>
        <w:t>合作方式</w:t>
      </w:r>
    </w:p>
    <w:p w14:paraId="3BF38ED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甲方支持、指导各镇(街)各单位开展助力项目合作，助力项目以微利、市场化为主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结合适量帮扶支持项目的方式依法合规进行项目推进。乙方积极主动参与助力项目的项目规划、可研编制等前期工作。</w:t>
      </w:r>
      <w:bookmarkStart w:id="0" w:name="_GoBack"/>
      <w:bookmarkEnd w:id="0"/>
    </w:p>
    <w:p w14:paraId="6C7FA38D">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四、工作机制</w:t>
      </w:r>
    </w:p>
    <w:p w14:paraId="005F62C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负责协调本县各相关部门加快、高效推进相关手续办理，建立健全人员、渠道和程序等相对固定的对接会商工作机制，协调解决跨部门、跨行业的重点难点问题。各行业主管部门应加强能源、交通运输、水利工程、房屋市政等领域工程项目的监督和调度。</w:t>
      </w:r>
    </w:p>
    <w:p w14:paraId="42BF4C1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成立遂溪县区域办事处，作为全权代表乙方履行上下联动、左右协同、统筹协调的工作机构，配合甲方做好当地纳税纳统工作。乙方必须遵守国家、广东省及工程所在地安全生产、环境保护、社会稳定、信用监管的有关要求，加强与甲方沟通联系，加强对承接项目的指挥调度，调配资源力量，推动实现承接项目在安全、质量、环保、工期、资金等方面的管控目标。</w:t>
      </w:r>
    </w:p>
    <w:p w14:paraId="4808AC5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(三)甲乙双方建立协调联络机制，共同统筹协调合作事宜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确保合作项目的顺利推进，定期召开联席会议，沟通项目进展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切实加强信息沟通、密切工作协同，确保合作项目顺利推进。</w:t>
      </w:r>
    </w:p>
    <w:p w14:paraId="3A1DD5F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(四)甲乙双方共同梳理和优化合作项目的工作流程，在确保项目合规性前提下，适当优化审批环节，提高工作效率。乙方应积极配合甲方完成相关审批手续，确保项目按时开工建设。</w:t>
      </w:r>
    </w:p>
    <w:p w14:paraId="487544C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(五)甲乙双方应加强助力项目工程合同的实施监督，依职责强化动态调度和运行监管。建立合作项目监管和评估机制，定期对项目进度、质量、安全及资金等方面进行检查和风险评估，确保项目顺利进行。</w:t>
      </w:r>
    </w:p>
    <w:p w14:paraId="739FE6D2">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五、其他事项</w:t>
      </w:r>
    </w:p>
    <w:p w14:paraId="6B8EA62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(一)本协议所商事项仅作为双方今后合作的意向性文件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具有排他性，不能作为追究双方责任的依据，不能代替具体项目协议，合作中涉及的所有事项的实施均应符合法律、法规、规章和相关政策规定，在政府职权范围内且符合各方的业务审批条件和办理程序的前提下进行，依法需要履行招投标、政府采购，招拍挂等程序的，应按有关规定执行。</w:t>
      </w:r>
    </w:p>
    <w:p w14:paraId="5530266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(二)双方对协议及合作内容具有保密义务，在合作过程中涉及国家秘密、商业秘密及非公开信息的，双方承诺保密。保密义务在本协议期满、解除或终止后仍然有效。</w:t>
      </w:r>
    </w:p>
    <w:p w14:paraId="1C31D4E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(三)本协议未尽事宜或需对本协议有关事项进行磋商加以明确的，双方可签订补充协议，或在具体合作项目中另行约定。</w:t>
      </w:r>
    </w:p>
    <w:p w14:paraId="2FA3D0C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(四)本协议一式贰份，双方各执壹份。自双方法定代表人或授权代表签字并加盖公章之日起生效。</w:t>
      </w:r>
    </w:p>
    <w:p w14:paraId="1CA62E2F">
      <w:pPr>
        <w:spacing w:line="360" w:lineRule="auto"/>
        <w:rPr>
          <w:rFonts w:asciiTheme="minorEastAsia" w:hAnsiTheme="minorEastAsia" w:cstheme="minorEastAsia"/>
          <w:sz w:val="30"/>
          <w:szCs w:val="30"/>
        </w:rPr>
      </w:pPr>
    </w:p>
    <w:p w14:paraId="5B810599">
      <w:pPr>
        <w:spacing w:line="360" w:lineRule="auto"/>
        <w:rPr>
          <w:rFonts w:asciiTheme="minorEastAsia" w:hAnsiTheme="minorEastAsia" w:cstheme="minorEastAsia"/>
          <w:sz w:val="30"/>
          <w:szCs w:val="30"/>
        </w:rPr>
      </w:pPr>
    </w:p>
    <w:p w14:paraId="0E7379A9">
      <w:pPr>
        <w:spacing w:line="360" w:lineRule="auto"/>
        <w:rPr>
          <w:rFonts w:asciiTheme="minorEastAsia" w:hAnsiTheme="minorEastAsia" w:cstheme="minorEastAsia"/>
          <w:sz w:val="30"/>
          <w:szCs w:val="30"/>
        </w:rPr>
        <w:sectPr>
          <w:pgSz w:w="11906" w:h="16838"/>
          <w:pgMar w:top="1440" w:right="1800" w:bottom="1440" w:left="1800" w:header="851" w:footer="992" w:gutter="0"/>
          <w:cols w:space="425" w:num="1"/>
          <w:docGrid w:type="lines" w:linePitch="312" w:charSpace="0"/>
        </w:sectPr>
      </w:pPr>
    </w:p>
    <w:p w14:paraId="1248D2A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甲方:遂溪县人民政府</w:t>
      </w:r>
    </w:p>
    <w:p w14:paraId="4B6F768C">
      <w:pPr>
        <w:spacing w:line="360" w:lineRule="auto"/>
        <w:rPr>
          <w:rFonts w:hint="eastAsia" w:ascii="仿宋_GB2312" w:hAnsi="仿宋_GB2312" w:eastAsia="仿宋_GB2312" w:cs="仿宋_GB2312"/>
          <w:sz w:val="32"/>
          <w:szCs w:val="32"/>
        </w:rPr>
      </w:pPr>
    </w:p>
    <w:p w14:paraId="72FDF43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62A355B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6C0D01C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p>
    <w:p w14:paraId="4FFCA529">
      <w:pPr>
        <w:widowControl/>
        <w:spacing w:line="640" w:lineRule="exact"/>
        <w:ind w:left="640" w:hanging="640" w:hanging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乙方:中国移动通信集团广东有限公司湛江分公司</w:t>
      </w:r>
    </w:p>
    <w:p w14:paraId="2C536D99">
      <w:pPr>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3989EEEB">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w:t>
      </w:r>
    </w:p>
    <w:p w14:paraId="54EF19E7">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p>
    <w:p w14:paraId="500C1E6D">
      <w:pPr>
        <w:spacing w:line="360" w:lineRule="auto"/>
        <w:ind w:firstLine="640" w:firstLineChars="200"/>
        <w:rPr>
          <w:rFonts w:hint="eastAsia" w:ascii="仿宋_GB2312" w:hAnsi="仿宋_GB2312" w:eastAsia="仿宋_GB2312" w:cs="仿宋_GB2312"/>
          <w:sz w:val="32"/>
          <w:szCs w:val="32"/>
        </w:rPr>
        <w:sectPr>
          <w:type w:val="continuous"/>
          <w:pgSz w:w="11906" w:h="16838"/>
          <w:pgMar w:top="1440" w:right="1800" w:bottom="1440" w:left="1800" w:header="851" w:footer="992" w:gutter="0"/>
          <w:cols w:equalWidth="0" w:num="2">
            <w:col w:w="3940" w:space="425"/>
            <w:col w:w="3940"/>
          </w:cols>
          <w:docGrid w:type="lines" w:linePitch="312" w:charSpace="0"/>
        </w:sectPr>
      </w:pPr>
    </w:p>
    <w:p w14:paraId="51DEBBD3">
      <w:pPr>
        <w:spacing w:line="360" w:lineRule="auto"/>
        <w:jc w:val="both"/>
        <w:rPr>
          <w:rFonts w:hint="eastAsia" w:ascii="仿宋_GB2312" w:hAnsi="仿宋_GB2312" w:eastAsia="仿宋_GB2312" w:cs="仿宋_GB2312"/>
          <w:sz w:val="32"/>
          <w:szCs w:val="32"/>
        </w:rPr>
      </w:pPr>
    </w:p>
    <w:p w14:paraId="4517E206">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年月  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0466B9E"/>
    <w:rsid w:val="00044D17"/>
    <w:rsid w:val="00137A2A"/>
    <w:rsid w:val="00F91A7A"/>
    <w:rsid w:val="012F2B13"/>
    <w:rsid w:val="08BD34B9"/>
    <w:rsid w:val="0C9F1A2D"/>
    <w:rsid w:val="10466B9E"/>
    <w:rsid w:val="1ABC1811"/>
    <w:rsid w:val="20514D5B"/>
    <w:rsid w:val="24E24F53"/>
    <w:rsid w:val="283A50A6"/>
    <w:rsid w:val="2B361B23"/>
    <w:rsid w:val="2FE23BE5"/>
    <w:rsid w:val="318C6454"/>
    <w:rsid w:val="3CA031F7"/>
    <w:rsid w:val="3D372CE9"/>
    <w:rsid w:val="48992B03"/>
    <w:rsid w:val="532F7D15"/>
    <w:rsid w:val="53DC7CA0"/>
    <w:rsid w:val="54BD0428"/>
    <w:rsid w:val="55073E6B"/>
    <w:rsid w:val="5B704862"/>
    <w:rsid w:val="5ECD73AA"/>
    <w:rsid w:val="644A564E"/>
    <w:rsid w:val="64EF67D0"/>
    <w:rsid w:val="6B3005B5"/>
    <w:rsid w:val="6B83252A"/>
    <w:rsid w:val="6B9D6AAA"/>
    <w:rsid w:val="6C475AB1"/>
    <w:rsid w:val="6D2315E9"/>
    <w:rsid w:val="70D96804"/>
    <w:rsid w:val="71196E9F"/>
    <w:rsid w:val="76B33626"/>
    <w:rsid w:val="77D33B17"/>
    <w:rsid w:val="78434E7D"/>
    <w:rsid w:val="792C3923"/>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CMCC</Company>
  <Pages>5</Pages>
  <Words>1721</Words>
  <Characters>1727</Characters>
  <Lines>12</Lines>
  <Paragraphs>3</Paragraphs>
  <TotalTime>8</TotalTime>
  <ScaleCrop>false</ScaleCrop>
  <LinksUpToDate>false</LinksUpToDate>
  <CharactersWithSpaces>1730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2025-01-10T04:24:00Z</dcterms:created>
  <dc:creator>黄沾</dc:creator>
  <cp:lastModifiedBy>qhb</cp:lastModifiedBy>
  <cp:lastPrinted>2025-03-12T01:37:15Z</cp:lastPrinted>
  <dcterms:modified xsi:type="dcterms:W3CDTF">2025-03-12T01:58:31Z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D502FC4A42E84E01B278DEFECE988243</vt:lpwstr>
  </property>
  <property fmtid="{D5CDD505-2E9C-101B-9397-08002B2CF9AE}" pid="4" name="KSOTemplateDocerSaveRecord">
    <vt:lpwstr>eyJoZGlkIjoiMjEwMjQ0Mzc0MjM4YmE2YTE4NTQzZTU4YmU0M2NlYmUiLCJ1c2VySWQiOiI2NDQ2NTEyMzUifQ==</vt:lpwstr>
  </property>
</Properties>
</file>