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申请行政复议需提交的材料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一、公民个人提出申请的：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（一）行政复议申请书（三份。如有第三人的，请根据第三人数量增加份数）；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（二）行政机关作出的决定（即复议的原具体行政行为）复印件；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（三）本人身份证（复印件，核对原件）；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（四）委托他人办理的，还须提交：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1.授权委托书；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2.受委托人的身份证（复印件，核对原件）；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3.律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师代理的，须提交律师所函、律师证（复印件，核对原件）。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（五）亲属申请复议的，须提交亲属关系证明。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（六）利害关系人申请复议的，须提交存在利害关系的证明材料。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（七）相关证据材料（需附证据清单）。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二、法人（其他组织）提出申请的：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（一）行政复议申请书（三份。如有第三人的，请根据第三人数量增加份数）；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（二）行政机关作出的决定（即复议的原具体行政行为）复印件；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（三）营业执照或成立批复复印件（村民集体无需提交此项）；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（四）法定代表人身份证明书；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（五）授权委托书；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（六）受委托人的身份证（复印件，核对原件）；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（七）律师代理的，须提交律师所函、律师证（复印件，核对原件）。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（八）利害关系人申请复议的，须提交存在利害关系的证明材料。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（九）相关证据材料（需附证据清单）。</w:t>
      </w:r>
    </w:p>
    <w:sectPr>
      <w:pgSz w:w="12240" w:h="15840"/>
      <w:pgMar w:top="1304" w:right="1304" w:bottom="1304" w:left="1474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auto"/>
    <w:pitch w:val="variable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446FEF"/>
    <w:rsid w:val="59446FE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Courier New"/>
      <w:kern w:val="2"/>
      <w:sz w:val="21"/>
      <w:szCs w:val="21"/>
      <w:lang w:val="en-US" w:eastAsia="zh-CN" w:bidi="ar"/>
    </w:rPr>
  </w:style>
  <w:style w:type="character" w:customStyle="1" w:styleId="5">
    <w:name w:val="纯文本 Char"/>
    <w:basedOn w:val="3"/>
    <w:link w:val="2"/>
    <w:uiPriority w:val="0"/>
    <w:rPr>
      <w:rFonts w:hint="eastAsia"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2018-03-22T07:51:00Z</dcterms:created>
  <dc:creator>遂溪县府办</dc:creator>
  <cp:lastModifiedBy>遂溪县府办</cp:lastModifiedBy>
  <dcterms:modified xsi:type="dcterms:W3CDTF">2018-03-22T07:53:50Z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