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5342" w:type="pct"/>
        <w:tblInd w:w="-232" w:type="dxa"/>
        <w:tblLayout w:type="fixed"/>
        <w:tblCellMar>
          <w:top w:w="0" w:type="dxa"/>
          <w:left w:w="0" w:type="dxa"/>
          <w:bottom w:w="0" w:type="dxa"/>
          <w:right w:w="0" w:type="dxa"/>
        </w:tblCellMar>
      </w:tblPr>
      <w:tblGrid>
        <w:gridCol w:w="8900"/>
      </w:tblGrid>
      <w:tr>
        <w:tblPrEx>
          <w:tblCellMar>
            <w:top w:w="0" w:type="dxa"/>
            <w:left w:w="0" w:type="dxa"/>
            <w:bottom w:w="0" w:type="dxa"/>
            <w:right w:w="0" w:type="dxa"/>
          </w:tblCellMar>
        </w:tblPrEx>
        <w:trPr>
          <w:trHeight w:val="1249" w:hRule="atLeast"/>
        </w:trPr>
        <w:tc>
          <w:tcPr>
            <w:tcW w:w="5000" w:type="pct"/>
            <w:tcBorders>
              <w:top w:val="nil"/>
              <w:left w:val="nil"/>
              <w:bottom w:val="nil"/>
              <w:right w:val="nil"/>
            </w:tcBorders>
            <w:noWrap w:val="0"/>
            <w:tcMar>
              <w:top w:w="15" w:type="dxa"/>
              <w:left w:w="15" w:type="dxa"/>
              <w:right w:w="15" w:type="dxa"/>
            </w:tcMar>
            <w:vAlign w:val="bottom"/>
          </w:tcPr>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pPr>
              <w:widowControl/>
              <w:numPr>
                <w:ilvl w:val="0"/>
                <w:numId w:val="0"/>
              </w:numPr>
              <w:spacing w:line="600" w:lineRule="exact"/>
              <w:jc w:val="center"/>
              <w:rPr>
                <w:rFonts w:hint="eastAsia" w:ascii="方正黑体_GBK" w:hAnsi="方正黑体_GBK" w:eastAsia="方正黑体_GBK" w:cs="方正黑体_GBK"/>
                <w:color w:val="000000"/>
                <w:sz w:val="32"/>
                <w:szCs w:val="32"/>
                <w:lang w:eastAsia="zh-CN"/>
              </w:rPr>
            </w:pPr>
            <w:r>
              <w:rPr>
                <w:rFonts w:hint="eastAsia" w:ascii="方正小标宋_GBK" w:hAnsi="方正小标宋_GBK" w:eastAsia="方正小标宋_GBK" w:cs="方正小标宋_GBK"/>
                <w:color w:val="000000"/>
                <w:sz w:val="32"/>
                <w:szCs w:val="32"/>
                <w:lang w:val="en-US" w:eastAsia="zh-CN"/>
              </w:rPr>
              <w:t>遂溪县2022年农村人居环境基础整治资金分配表</w:t>
            </w:r>
          </w:p>
        </w:tc>
      </w:tr>
      <w:tr>
        <w:tblPrEx>
          <w:tblCellMar>
            <w:top w:w="0" w:type="dxa"/>
            <w:left w:w="0" w:type="dxa"/>
            <w:bottom w:w="0" w:type="dxa"/>
            <w:right w:w="0" w:type="dxa"/>
          </w:tblCellMar>
        </w:tblPrEx>
        <w:trPr>
          <w:trHeight w:val="657" w:hRule="atLeast"/>
        </w:trPr>
        <w:tc>
          <w:tcPr>
            <w:tcW w:w="5000" w:type="pct"/>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方正楷体_GBK" w:hAnsi="方正楷体_GBK" w:eastAsia="方正楷体_GBK" w:cs="方正楷体_GBK"/>
                <w:b w:val="0"/>
                <w:bCs/>
                <w:i w:val="0"/>
                <w:color w:val="000000"/>
                <w:kern w:val="0"/>
                <w:sz w:val="30"/>
                <w:szCs w:val="30"/>
                <w:u w:val="none"/>
                <w:lang w:val="en-US" w:eastAsia="zh-CN" w:bidi="ar"/>
              </w:rPr>
              <w:t>(驻镇帮镇扶村资金）</w:t>
            </w:r>
          </w:p>
        </w:tc>
      </w:tr>
      <w:tr>
        <w:tblPrEx>
          <w:tblCellMar>
            <w:top w:w="0" w:type="dxa"/>
            <w:left w:w="0" w:type="dxa"/>
            <w:bottom w:w="0" w:type="dxa"/>
            <w:right w:w="0" w:type="dxa"/>
          </w:tblCellMar>
        </w:tblPrEx>
        <w:trPr>
          <w:trHeight w:val="10562" w:hRule="atLeast"/>
        </w:trPr>
        <w:tc>
          <w:tcPr>
            <w:tcW w:w="5000" w:type="pct"/>
            <w:tcBorders>
              <w:top w:val="nil"/>
              <w:left w:val="nil"/>
              <w:bottom w:val="nil"/>
              <w:right w:val="nil"/>
            </w:tcBorders>
            <w:noWrap/>
            <w:tcMar>
              <w:top w:w="15" w:type="dxa"/>
              <w:left w:w="15" w:type="dxa"/>
              <w:right w:w="15" w:type="dxa"/>
            </w:tcMar>
            <w:vAlign w:val="center"/>
          </w:tcPr>
          <w:tbl>
            <w:tblPr>
              <w:tblStyle w:val="9"/>
              <w:tblW w:w="8858" w:type="dxa"/>
              <w:jc w:val="center"/>
              <w:tblLayout w:type="fixed"/>
              <w:tblCellMar>
                <w:top w:w="0" w:type="dxa"/>
                <w:left w:w="0" w:type="dxa"/>
                <w:bottom w:w="0" w:type="dxa"/>
                <w:right w:w="0" w:type="dxa"/>
              </w:tblCellMar>
            </w:tblPr>
            <w:tblGrid>
              <w:gridCol w:w="2188"/>
              <w:gridCol w:w="1933"/>
              <w:gridCol w:w="1625"/>
              <w:gridCol w:w="1769"/>
              <w:gridCol w:w="1343"/>
            </w:tblGrid>
            <w:tr>
              <w:tblPrEx>
                <w:tblCellMar>
                  <w:top w:w="0" w:type="dxa"/>
                  <w:left w:w="0" w:type="dxa"/>
                  <w:bottom w:w="0" w:type="dxa"/>
                  <w:right w:w="0" w:type="dxa"/>
                </w:tblCellMar>
              </w:tblPrEx>
              <w:trPr>
                <w:trHeight w:val="805"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镇</w:t>
                  </w:r>
                </w:p>
              </w:tc>
              <w:tc>
                <w:tcPr>
                  <w:tcW w:w="1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户籍人口数（人）</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人口占比</w:t>
                  </w:r>
                </w:p>
              </w:tc>
              <w:tc>
                <w:tcPr>
                  <w:tcW w:w="1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sz w:val="24"/>
                      <w:szCs w:val="32"/>
                      <w:lang w:val="en-US" w:eastAsia="zh-CN"/>
                    </w:rPr>
                  </w:pPr>
                  <w:r>
                    <w:rPr>
                      <w:rFonts w:hint="eastAsia" w:ascii="方正黑体_GBK" w:hAnsi="方正黑体_GBK" w:eastAsia="方正黑体_GBK" w:cs="方正黑体_GBK"/>
                      <w:sz w:val="24"/>
                      <w:szCs w:val="32"/>
                      <w:lang w:val="en-US" w:eastAsia="zh-CN"/>
                    </w:rPr>
                    <w:t>按人口分配金额</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（万元）</w:t>
                  </w:r>
                </w:p>
              </w:tc>
              <w:tc>
                <w:tcPr>
                  <w:tcW w:w="1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备注</w:t>
                  </w: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乌塘镇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20796</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1.83%</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18 </w:t>
                  </w:r>
                </w:p>
              </w:tc>
              <w:tc>
                <w:tcPr>
                  <w:tcW w:w="134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eastAsia="宋体"/>
                      <w:sz w:val="24"/>
                      <w:szCs w:val="32"/>
                      <w:lang w:val="en-US" w:eastAsia="zh-CN"/>
                    </w:rPr>
                  </w:pPr>
                  <w:r>
                    <w:rPr>
                      <w:rFonts w:hint="eastAsia" w:ascii="方正仿宋_GBK" w:hAnsi="方正仿宋_GBK" w:eastAsia="方正仿宋_GBK" w:cs="方正仿宋_GBK"/>
                      <w:sz w:val="24"/>
                      <w:szCs w:val="32"/>
                      <w:lang w:val="en-US" w:eastAsia="zh-CN"/>
                    </w:rPr>
                    <w:t>按1000万元基数分配</w:t>
                  </w: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建新镇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26830</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2.37%</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24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岭北镇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30744</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2.71%</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27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江洪镇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39253</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3.46%</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35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河头镇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40519</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3.57%</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36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港门镇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44978</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3.97%</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40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乐民镇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47194</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4.16%</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42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北坡镇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57764</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5.09%</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51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草潭镇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75306</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6.64%</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66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界炮镇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81924</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7.22%</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72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洋青镇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86745</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7.65%</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76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杨柑镇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101369</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8.94%</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89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黄略镇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116941</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10.31%</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103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城月镇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129494</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11.42%</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114 </w:t>
                  </w:r>
                </w:p>
              </w:tc>
              <w:tc>
                <w:tcPr>
                  <w:tcW w:w="1343"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sz w:val="24"/>
                      <w:szCs w:val="32"/>
                    </w:rPr>
                  </w:pPr>
                  <w:r>
                    <w:rPr>
                      <w:rFonts w:hint="eastAsia" w:ascii="方正黑体_GBK" w:hAnsi="方正黑体_GBK" w:eastAsia="方正黑体_GBK" w:cs="方正黑体_GBK"/>
                      <w:sz w:val="24"/>
                      <w:szCs w:val="32"/>
                      <w:lang w:val="en-US" w:eastAsia="zh-CN"/>
                    </w:rPr>
                    <w:t>遂城镇</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234297</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20.66%</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207 </w:t>
                  </w:r>
                </w:p>
              </w:tc>
              <w:tc>
                <w:tcPr>
                  <w:tcW w:w="134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r>
              <w:tblPrEx>
                <w:tblCellMar>
                  <w:top w:w="0" w:type="dxa"/>
                  <w:left w:w="0" w:type="dxa"/>
                  <w:bottom w:w="0" w:type="dxa"/>
                  <w:right w:w="0" w:type="dxa"/>
                </w:tblCellMar>
              </w:tblPrEx>
              <w:trPr>
                <w:trHeight w:val="510" w:hRule="exact"/>
                <w:jc w:val="center"/>
              </w:trPr>
              <w:tc>
                <w:tcPr>
                  <w:tcW w:w="2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sz w:val="24"/>
                      <w:szCs w:val="32"/>
                    </w:rPr>
                  </w:pPr>
                  <w:r>
                    <w:rPr>
                      <w:rFonts w:hint="eastAsia" w:ascii="方正黑体_GBK" w:hAnsi="方正黑体_GBK" w:eastAsia="方正黑体_GBK" w:cs="方正黑体_GBK"/>
                      <w:sz w:val="24"/>
                      <w:szCs w:val="32"/>
                      <w:lang w:val="en-US" w:eastAsia="zh-CN"/>
                    </w:rPr>
                    <w:t>合计</w:t>
                  </w:r>
                </w:p>
              </w:tc>
              <w:tc>
                <w:tcPr>
                  <w:tcW w:w="1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1134154</w:t>
                  </w:r>
                </w:p>
              </w:tc>
              <w:tc>
                <w:tcPr>
                  <w:tcW w:w="1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100.00%</w:t>
                  </w:r>
                </w:p>
              </w:tc>
              <w:tc>
                <w:tcPr>
                  <w:tcW w:w="1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en-US" w:eastAsia="zh-CN"/>
                    </w:rPr>
                    <w:t xml:space="preserve">1000 </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sz w:val="24"/>
                      <w:szCs w:val="32"/>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lang w:val="en-US" w:eastAsia="zh-CN"/>
              </w:rPr>
              <w:t>备注：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lang w:val="en-US" w:eastAsia="zh-CN"/>
              </w:rPr>
              <w:t>①各镇人口数据来源于2021年3月全省乡镇基本信息表；</w:t>
            </w:r>
          </w:p>
          <w:p>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eastAsia="宋体"/>
                <w:lang w:val="en-US" w:eastAsia="zh-CN"/>
              </w:rPr>
            </w:pPr>
            <w:r>
              <w:rPr>
                <w:rFonts w:hint="eastAsia" w:ascii="方正仿宋_GBK" w:hAnsi="方正仿宋_GBK" w:eastAsia="方正仿宋_GBK" w:cs="方正仿宋_GBK"/>
                <w:kern w:val="2"/>
                <w:sz w:val="24"/>
                <w:szCs w:val="32"/>
                <w:lang w:val="en-US" w:eastAsia="zh-CN" w:bidi="ar-SA"/>
              </w:rPr>
              <w:t>②在2021年度省乡村振兴实绩考核中被推荐为迎检单位或被考核抽中的两个镇，每镇在乡村振兴奖补资金中另外增加50万元，共100万元。</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default" w:ascii="方正仿宋_GBK" w:hAnsi="方正仿宋_GBK" w:eastAsia="方正仿宋_GBK" w:cs="方正仿宋_GBK"/>
          <w:sz w:val="32"/>
          <w:szCs w:val="32"/>
          <w:lang w:val="en-US" w:eastAsia="zh-CN"/>
        </w:rPr>
      </w:pPr>
    </w:p>
    <w:sectPr>
      <w:footerReference r:id="rId3"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Z/r6cMBAABwAwAADgAAAGRycy9lMm9Eb2MueG1srVPNjtMwEL4j7TtY&#10;vm+dLRK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Rn+vp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E9"/>
    <w:rsid w:val="00041E98"/>
    <w:rsid w:val="000F36EB"/>
    <w:rsid w:val="0017338C"/>
    <w:rsid w:val="003F1B11"/>
    <w:rsid w:val="00437B1A"/>
    <w:rsid w:val="008F4D3B"/>
    <w:rsid w:val="00B37A93"/>
    <w:rsid w:val="00FA1FE9"/>
    <w:rsid w:val="011D7179"/>
    <w:rsid w:val="042E05D5"/>
    <w:rsid w:val="07E42754"/>
    <w:rsid w:val="0AD43EB2"/>
    <w:rsid w:val="0C3F6CC8"/>
    <w:rsid w:val="0C851286"/>
    <w:rsid w:val="0D1374A6"/>
    <w:rsid w:val="0D7330E0"/>
    <w:rsid w:val="0E417312"/>
    <w:rsid w:val="0F346E76"/>
    <w:rsid w:val="10F229A2"/>
    <w:rsid w:val="123578F5"/>
    <w:rsid w:val="155A5FD7"/>
    <w:rsid w:val="15B66837"/>
    <w:rsid w:val="16322308"/>
    <w:rsid w:val="17242980"/>
    <w:rsid w:val="1B524B04"/>
    <w:rsid w:val="1CD04635"/>
    <w:rsid w:val="24DE36B4"/>
    <w:rsid w:val="28340EE8"/>
    <w:rsid w:val="284907AA"/>
    <w:rsid w:val="2D7066C5"/>
    <w:rsid w:val="2D7A37E4"/>
    <w:rsid w:val="2F903C6C"/>
    <w:rsid w:val="33534FC1"/>
    <w:rsid w:val="375A2BC4"/>
    <w:rsid w:val="37893EB6"/>
    <w:rsid w:val="38E250CA"/>
    <w:rsid w:val="39366675"/>
    <w:rsid w:val="414F32CB"/>
    <w:rsid w:val="417116E0"/>
    <w:rsid w:val="428166F5"/>
    <w:rsid w:val="435A6D8A"/>
    <w:rsid w:val="43E8054A"/>
    <w:rsid w:val="44F744B5"/>
    <w:rsid w:val="45DB2DA7"/>
    <w:rsid w:val="461A5D67"/>
    <w:rsid w:val="46763F12"/>
    <w:rsid w:val="48601C71"/>
    <w:rsid w:val="48E5149E"/>
    <w:rsid w:val="49956B87"/>
    <w:rsid w:val="4A310967"/>
    <w:rsid w:val="4A49342C"/>
    <w:rsid w:val="4C170CEE"/>
    <w:rsid w:val="575A3ADF"/>
    <w:rsid w:val="582F4BB1"/>
    <w:rsid w:val="58930DAB"/>
    <w:rsid w:val="5D3A689C"/>
    <w:rsid w:val="5E44054E"/>
    <w:rsid w:val="613D7668"/>
    <w:rsid w:val="635A768A"/>
    <w:rsid w:val="65F674F1"/>
    <w:rsid w:val="66FC35B2"/>
    <w:rsid w:val="691D569F"/>
    <w:rsid w:val="6C4D36A2"/>
    <w:rsid w:val="6CF812AB"/>
    <w:rsid w:val="6DF07308"/>
    <w:rsid w:val="6E893E22"/>
    <w:rsid w:val="6EAE1105"/>
    <w:rsid w:val="70AB192A"/>
    <w:rsid w:val="71DB3C27"/>
    <w:rsid w:val="72F57B0A"/>
    <w:rsid w:val="73AA0F95"/>
    <w:rsid w:val="76237C83"/>
    <w:rsid w:val="76E03DBA"/>
    <w:rsid w:val="78C859B1"/>
    <w:rsid w:val="79C913B2"/>
    <w:rsid w:val="7AD2753B"/>
    <w:rsid w:val="7CEF194C"/>
    <w:rsid w:val="7DDF65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sz w:val="33"/>
      <w:szCs w:val="33"/>
    </w:rPr>
  </w:style>
  <w:style w:type="paragraph" w:styleId="3">
    <w:name w:val="Body Text"/>
    <w:basedOn w:val="1"/>
    <w:next w:val="4"/>
    <w:unhideWhenUsed/>
    <w:qFormat/>
    <w:uiPriority w:val="99"/>
  </w:style>
  <w:style w:type="paragraph" w:styleId="4">
    <w:name w:val="toc 5"/>
    <w:basedOn w:val="1"/>
    <w:next w:val="1"/>
    <w:qFormat/>
    <w:uiPriority w:val="0"/>
    <w:pPr>
      <w:ind w:left="1680"/>
    </w:pPr>
  </w:style>
  <w:style w:type="paragraph" w:styleId="5">
    <w:name w:val="Date"/>
    <w:basedOn w:val="1"/>
    <w:next w:val="1"/>
    <w:link w:val="11"/>
    <w:qFormat/>
    <w:uiPriority w:val="0"/>
    <w:pPr>
      <w:ind w:left="100" w:leftChars="2500"/>
    </w:pPr>
  </w:style>
  <w:style w:type="paragraph" w:styleId="6">
    <w:name w:val="footer"/>
    <w:basedOn w:val="1"/>
    <w:qFormat/>
    <w:uiPriority w:val="0"/>
    <w:pPr>
      <w:tabs>
        <w:tab w:val="center" w:pos="4153"/>
        <w:tab w:val="right" w:pos="8306"/>
      </w:tabs>
      <w:snapToGrid w:val="0"/>
    </w:pPr>
    <w:rPr>
      <w:rFonts w:ascii="仿宋_GB2312" w:hAnsi="仿宋_GB2312" w:eastAsia="仿宋_GB2312" w:cs="仿宋_GB2312"/>
      <w:sz w:val="18"/>
      <w:szCs w:val="18"/>
      <w:lang w:val="zh-CN" w:bidi="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character" w:customStyle="1" w:styleId="11">
    <w:name w:val="日期 Char"/>
    <w:basedOn w:val="10"/>
    <w:link w:val="5"/>
    <w:qFormat/>
    <w:uiPriority w:val="0"/>
    <w:rPr>
      <w:kern w:val="2"/>
      <w:sz w:val="21"/>
      <w:szCs w:val="24"/>
    </w:rPr>
  </w:style>
  <w:style w:type="paragraph" w:customStyle="1" w:styleId="12">
    <w:name w:val="Heading #2|1"/>
    <w:basedOn w:val="1"/>
    <w:qFormat/>
    <w:uiPriority w:val="0"/>
    <w:pPr>
      <w:spacing w:line="624" w:lineRule="exact"/>
      <w:ind w:firstLine="660"/>
      <w:outlineLvl w:val="1"/>
    </w:pPr>
    <w:rPr>
      <w:rFonts w:ascii="宋体" w:hAnsi="宋体" w:eastAsia="宋体" w:cs="宋体"/>
      <w:b/>
      <w:bCs/>
      <w:sz w:val="30"/>
      <w:szCs w:val="30"/>
      <w:lang w:val="zh-TW" w:eastAsia="zh-TW" w:bidi="zh-TW"/>
    </w:rPr>
  </w:style>
  <w:style w:type="paragraph" w:customStyle="1" w:styleId="13">
    <w:name w:val="Body text|1"/>
    <w:basedOn w:val="1"/>
    <w:qFormat/>
    <w:uiPriority w:val="0"/>
    <w:pPr>
      <w:spacing w:line="391"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Pages>
  <Words>1041</Words>
  <Characters>1269</Characters>
  <Lines>3</Lines>
  <Paragraphs>1</Paragraphs>
  <TotalTime>93</TotalTime>
  <ScaleCrop>false</ScaleCrop>
  <LinksUpToDate>false</LinksUpToDate>
  <CharactersWithSpaces>1380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2020-10-10T08:44:00Z</dcterms:created>
  <dc:creator>Administrator</dc:creator>
  <cp:lastModifiedBy>Administrator</cp:lastModifiedBy>
  <cp:lastPrinted>2022-04-06T02:08:00Z</cp:lastPrinted>
  <dcterms:modified xsi:type="dcterms:W3CDTF">2022-06-21T09:39:21Z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SaveFontToCloudKey">
    <vt:lpwstr>337574252_cloud</vt:lpwstr>
  </property>
  <property fmtid="{D5CDD505-2E9C-101B-9397-08002B2CF9AE}" pid="4" name="ICV">
    <vt:lpwstr>09AC4BF3F76C414AAF4A3FB022D9D373</vt:lpwstr>
  </property>
</Properties>
</file>