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遂溪县发展和改革局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“三公”经费安排情况</w:t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bookmarkStart w:id="1" w:name="PO_part3A2Year1"/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年本部门财政拨款安排“三公”经费</w:t>
      </w:r>
      <w:bookmarkStart w:id="2" w:name="PO_part3A2Amount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3" w:name="PO_part3A2IncAmount1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4" w:name="PO_part3A2IncPercent1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5" w:name="PO_part3A2IncReason1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bookmarkStart w:id="6" w:name="PO_part3A2Amou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7" w:name="PO_part3A2IncAmount2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8" w:name="PO_part3A2IncPercent2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9" w:name="PO_part3A2IncReason2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bookmarkStart w:id="10" w:name="PO_part3A2Amount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bookmarkStart w:id="11" w:name="PO_part3A2Amount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2" w:name="PO_part3A2IncAmount5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公务用车运行维护费</w:t>
      </w:r>
      <w:bookmarkStart w:id="13" w:name="PO_part3A2Amount5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4" w:name="PO_part3A2IncAmount6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0"/>
          <w:szCs w:val="30"/>
        </w:rPr>
        <w:t>比上年</w:t>
      </w:r>
      <w:bookmarkStart w:id="15" w:name="PO_part3A2IncAmount3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6" w:name="PO_part3A2IncPercent3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7" w:name="PO_part3A2IncReason3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bookmarkStart w:id="18" w:name="PO_part3A2Amount6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19" w:name="PO_part3A2IncAmount4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20" w:name="PO_part3A2IncPercent4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0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21" w:name="PO_part3A2IncReason4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21"/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bookmarkStart w:id="22" w:name="_GoBack"/>
      <w:bookmarkEnd w:id="2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0927"/>
    <w:multiLevelType w:val="singleLevel"/>
    <w:tmpl w:val="5A60092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22353"/>
    <w:rsid w:val="262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2022-04-26T07:17:00Z</dcterms:created>
  <dc:creator>JINGTING-FENG</dc:creator>
  <cp:lastModifiedBy>JINGTING-FENG</cp:lastModifiedBy>
  <dcterms:modified xsi:type="dcterms:W3CDTF">2022-04-26T07:24:05Z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4389E2D6E56E42DEA8D175AC150EC7C2</vt:lpwstr>
  </property>
  <property fmtid="{D5CDD505-2E9C-101B-9397-08002B2CF9AE}" pid="4" name="commondata">
    <vt:lpwstr>eyJoZGlkIjoiOWRiNmNmZjlkYTFmNzU4M2EyNDU0NGVjNmVmODU4MmIifQ==</vt:lpwstr>
  </property>
</Properties>
</file>