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  <w:bookmarkStart w:id="0" w:name="PO_title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黑体" w:hAnsi="黑体" w:eastAsia="黑体" w:cs="方正小标宋简体"/>
          <w:sz w:val="44"/>
          <w:szCs w:val="44"/>
        </w:rPr>
        <w:t>年</w:t>
      </w:r>
      <w:bookmarkEnd w:id="0"/>
      <w:bookmarkStart w:id="1" w:name="PO_title1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遂溪县杨柑镇政府</w:t>
      </w:r>
      <w:bookmarkEnd w:id="1"/>
    </w:p>
    <w:p>
      <w:pPr>
        <w:jc w:val="center"/>
        <w:rPr>
          <w:rFonts w:hint="default" w:ascii="黑体" w:hAnsi="黑体" w:eastAsia="黑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方正小标宋简体"/>
          <w:sz w:val="44"/>
          <w:szCs w:val="44"/>
        </w:rPr>
        <w:t>部门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三公经费说明</w:t>
      </w:r>
    </w:p>
    <w:p>
      <w:pPr>
        <w:jc w:val="both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%，主要原因是与上年持平，无增减变化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%，主要原因是与上年持平，无增减变化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%，主要原因是与上年持平，无增减变化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%，主要原因是与上年持平，无增减变化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二、“三公”经费部门预算表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both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2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遂溪县杨柑镇人民政府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无</w:t>
      </w:r>
      <w:bookmarkEnd w:id="3"/>
      <w:bookmarkStart w:id="4" w:name="_GoBack"/>
      <w:bookmarkEnd w:id="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0927"/>
    <w:multiLevelType w:val="singleLevel"/>
    <w:tmpl w:val="5A6009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F6086"/>
    <w:rsid w:val="068208C9"/>
    <w:rsid w:val="135C2A3E"/>
    <w:rsid w:val="160A26DF"/>
    <w:rsid w:val="1A38596D"/>
    <w:rsid w:val="1D947CC3"/>
    <w:rsid w:val="25381017"/>
    <w:rsid w:val="2CB032D8"/>
    <w:rsid w:val="48A400AD"/>
    <w:rsid w:val="4F8540AC"/>
    <w:rsid w:val="547E7F44"/>
    <w:rsid w:val="54C55B73"/>
    <w:rsid w:val="5D261039"/>
    <w:rsid w:val="67D50B62"/>
    <w:rsid w:val="701F6086"/>
    <w:rsid w:val="784D3606"/>
    <w:rsid w:val="78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2022-04-26T03:49:00Z</dcterms:created>
  <dc:creator>7878</dc:creator>
  <cp:lastModifiedBy>7878</cp:lastModifiedBy>
  <dcterms:modified xsi:type="dcterms:W3CDTF">2022-04-26T03:59:35Z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6C3CD1EE7A8F456B92A90132974B6083</vt:lpwstr>
  </property>
</Properties>
</file>