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乌塘镇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三公经费的情况说明</w:t>
      </w:r>
    </w:p>
    <w:p>
      <w:pPr>
        <w:numPr>
          <w:numId w:val="0"/>
        </w:numPr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bookmarkStart w:id="22" w:name="_GoBack"/>
      <w:bookmarkEnd w:id="22"/>
      <w:r>
        <w:rPr>
          <w:rFonts w:hint="eastAsia" w:ascii="黑体" w:hAnsi="黑体" w:eastAsia="黑体" w:cs="黑体"/>
          <w:sz w:val="32"/>
          <w:szCs w:val="32"/>
        </w:rPr>
        <w:t>三公”经费安排情况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bookmarkStart w:id="0" w:name="PO_part3A2Year1"/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年本部门财政拨款安排“三公”经费</w:t>
      </w:r>
      <w:bookmarkStart w:id="1" w:name="PO_part3A2Amount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2" w:name="PO_part3A2IncAmount1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3" w:name="PO_part3A2IncPercent1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4" w:name="PO_part3A2IncReason1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30"/>
          <w:szCs w:val="30"/>
        </w:rPr>
        <w:t>。其中：因公出国（境）费</w:t>
      </w:r>
      <w:bookmarkStart w:id="5" w:name="PO_part3A2Amount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6" w:name="PO_part3A2IncAmount2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7" w:name="PO_part3A2IncPercent2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8" w:name="PO_part3A2IncReason2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0"/>
          <w:szCs w:val="30"/>
        </w:rPr>
        <w:t>；公务用车购置及运行费</w:t>
      </w:r>
      <w:bookmarkStart w:id="9" w:name="PO_part3A2Amount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0"/>
          <w:szCs w:val="30"/>
        </w:rPr>
        <w:t>万元（公务用车购置费</w:t>
      </w:r>
      <w:bookmarkStart w:id="10" w:name="PO_part3A2Amount4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1" w:name="PO_part3A2IncAmount5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公务用车运行维护费</w:t>
      </w:r>
      <w:bookmarkStart w:id="12" w:name="PO_part3A2Amount5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3" w:name="PO_part3A2IncAmount6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万元。）</w:t>
      </w:r>
      <w:r>
        <w:rPr>
          <w:rFonts w:hint="eastAsia" w:ascii="仿宋_GB2312" w:hAnsi="仿宋_GB2312" w:eastAsia="仿宋_GB2312" w:cs="仿宋_GB2312"/>
          <w:sz w:val="30"/>
          <w:szCs w:val="30"/>
        </w:rPr>
        <w:t>比上年</w:t>
      </w:r>
      <w:bookmarkStart w:id="14" w:name="PO_part3A2IncAmount3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5" w:name="PO_part3A2IncPercent3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6" w:name="PO_part3A2IncReason3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sz w:val="30"/>
          <w:szCs w:val="30"/>
        </w:rPr>
        <w:t>；公务接待费</w:t>
      </w:r>
      <w:bookmarkStart w:id="17" w:name="PO_part3A2Amount6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18" w:name="PO_part3A2IncAmount4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9" w:name="PO_part3A2IncPercent4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20" w:name="PO_part3A2IncReason4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20"/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tbl>
      <w:tblPr>
        <w:tblStyle w:val="3"/>
        <w:tblpPr w:leftFromText="180" w:rightFromText="180" w:vertAnchor="text" w:horzAnchor="page" w:tblpX="1285" w:tblpY="661"/>
        <w:tblOverlap w:val="never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1265"/>
        <w:gridCol w:w="296"/>
        <w:gridCol w:w="1561"/>
        <w:gridCol w:w="156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5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21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遂溪县乌塘镇人民政府 </w:t>
            </w:r>
            <w:bookmarkEnd w:id="21"/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tblHeader/>
        </w:trPr>
        <w:tc>
          <w:tcPr>
            <w:tcW w:w="3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5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7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63.46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63.46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7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7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7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7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7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7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mJhYmM4YzY5NTZlMzgyYTEwOWVmNTY3Yzc2MWYifQ=="/>
  </w:docVars>
  <w:rsids>
    <w:rsidRoot w:val="27FE535A"/>
    <w:rsid w:val="27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2022-04-28T06:37:00Z</dcterms:created>
  <dc:creator>Cherry</dc:creator>
  <cp:lastModifiedBy>Cherry</cp:lastModifiedBy>
  <dcterms:modified xsi:type="dcterms:W3CDTF">2022-04-28T06:42:32Z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56BA272510C546F4B5135214860B8FCC</vt:lpwstr>
  </property>
</Properties>
</file>