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遂溪县港门镇政府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“三公”经费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安排情况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4"/>
        <w:tblpPr w:leftFromText="180" w:rightFromText="180" w:vertAnchor="text" w:horzAnchor="page" w:tblpX="104" w:tblpY="6289"/>
        <w:tblOverlap w:val="never"/>
        <w:tblW w:w="10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063"/>
        <w:gridCol w:w="308"/>
        <w:gridCol w:w="1034"/>
        <w:gridCol w:w="2667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tblHeader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tblHeader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tblHeader/>
        </w:trPr>
        <w:tc>
          <w:tcPr>
            <w:tcW w:w="54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遂溪县港门镇政府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53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tblHeader/>
        </w:trPr>
        <w:tc>
          <w:tcPr>
            <w:tcW w:w="41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6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69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11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11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11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11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11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11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11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年本部门财政拨款安排“三公”经费</w:t>
      </w:r>
      <w:bookmarkStart w:id="1" w:name="PO_part3A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32"/>
          <w:szCs w:val="32"/>
        </w:rPr>
        <w:t>与上年持平，无增减变化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</w:t>
      </w:r>
      <w:bookmarkStart w:id="5" w:name="PO_part3A2Amou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8" w:name="PO_part3A2IncReason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与上年持平，无增减变化 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；公务用车购置及运行费</w:t>
      </w:r>
      <w:bookmarkStart w:id="9" w:name="PO_part3A2Amou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万元（公务用车购置费</w:t>
      </w:r>
      <w:bookmarkStart w:id="10" w:name="PO_part3A2Amou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</w:t>
      </w:r>
      <w:bookmarkStart w:id="11" w:name="PO_part3A2IncAmount5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公务用车运行维护费</w:t>
      </w:r>
      <w:bookmarkStart w:id="12" w:name="PO_part3A2Amount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上年</w:t>
      </w:r>
      <w:bookmarkStart w:id="13" w:name="PO_part3A2IncAmount6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万元。）</w:t>
      </w:r>
      <w:r>
        <w:rPr>
          <w:rFonts w:hint="eastAsia" w:ascii="仿宋_GB2312" w:hAnsi="仿宋_GB2312" w:eastAsia="仿宋_GB2312" w:cs="仿宋_GB2312"/>
          <w:sz w:val="32"/>
          <w:szCs w:val="32"/>
        </w:rPr>
        <w:t>比上年</w:t>
      </w:r>
      <w:bookmarkStart w:id="14" w:name="PO_part3A2IncAmount3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5" w:name="PO_part3A2IncPercent3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16" w:name="PO_part3A2IncReason3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与上年持平，无增减变化 </w:t>
      </w:r>
      <w:bookmarkEnd w:id="16"/>
      <w:r>
        <w:rPr>
          <w:rFonts w:hint="eastAsia" w:ascii="仿宋_GB2312" w:hAnsi="仿宋_GB2312" w:eastAsia="仿宋_GB2312" w:cs="仿宋_GB2312"/>
          <w:sz w:val="32"/>
          <w:szCs w:val="32"/>
        </w:rPr>
        <w:t>；公务接待费</w:t>
      </w:r>
      <w:bookmarkStart w:id="17" w:name="PO_part3A2Amount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bookmarkStart w:id="18" w:name="PO_part3A2IncAmount4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9" w:name="PO_part3A2IncPercent4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2"/>
          <w:szCs w:val="32"/>
        </w:rPr>
        <w:t>%，主要原因是</w:t>
      </w:r>
      <w:bookmarkStart w:id="20" w:name="PO_part3A2IncReason4"/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与上年持平，无增减变化 </w:t>
      </w:r>
      <w:bookmarkEnd w:id="2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宋体" w:hAnsi="宋体"/>
          <w:b/>
          <w:bCs/>
          <w:color w:val="000000"/>
          <w:kern w:val="0"/>
          <w:sz w:val="24"/>
        </w:rPr>
        <w:t>财政拨款安排的行政经费及“三公”经费预算表</w:t>
      </w:r>
    </w:p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zNjMTcyMWNjNDE2MDM3ZWJkNzRlYmY3NGRhNWIifQ=="/>
  </w:docVars>
  <w:rsids>
    <w:rsidRoot w:val="6682605E"/>
    <w:rsid w:val="0E1B19B0"/>
    <w:rsid w:val="581523B8"/>
    <w:rsid w:val="6682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277</Characters>
  <Lines>0</Lines>
  <Paragraphs>0</Paragraphs>
  <TotalTime>1</TotalTime>
  <ScaleCrop>false</ScaleCrop>
  <LinksUpToDate>false</LinksUpToDate>
  <CharactersWithSpaces>298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2022-04-26T07:26:00Z</dcterms:created>
  <dc:creator>Administrator</dc:creator>
  <cp:lastModifiedBy>Administrator</cp:lastModifiedBy>
  <dcterms:modified xsi:type="dcterms:W3CDTF">2022-04-28T04:06:27Z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9CC7519F7DC54E11BE83260D5A4AEF82</vt:lpwstr>
  </property>
</Properties>
</file>