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_GBK" w:eastAsia="方正小标宋_GBK" w:hAnsiTheme="majorEastAsia" w:cstheme="majorEastAsia"/>
          <w:sz w:val="44"/>
          <w:szCs w:val="44"/>
          <w:lang w:eastAsia="zh-CN"/>
        </w:rPr>
      </w:pPr>
      <w:r>
        <w:rPr>
          <w:rFonts w:hint="eastAsia" w:ascii="方正小标宋_GBK" w:eastAsia="方正小标宋_GBK" w:hAnsiTheme="majorEastAsia" w:cstheme="majorEastAsia"/>
          <w:sz w:val="44"/>
          <w:szCs w:val="44"/>
          <w:lang w:eastAsia="zh-CN"/>
        </w:rPr>
        <w:t>杨柑渔港管理章程</w:t>
      </w:r>
    </w:p>
    <w:p>
      <w:pPr>
        <w:snapToGrid w:val="0"/>
        <w:spacing w:line="640" w:lineRule="exact"/>
        <w:jc w:val="center"/>
        <w:rPr>
          <w:rFonts w:ascii="方正楷体_GBK" w:eastAsia="方正楷体_GBK" w:hAnsiTheme="majorEastAsia" w:cstheme="majorEastAsia"/>
          <w:sz w:val="32"/>
          <w:szCs w:val="32"/>
          <w:lang w:eastAsia="zh-CN"/>
        </w:rPr>
      </w:pPr>
      <w:r>
        <w:rPr>
          <w:rFonts w:hint="eastAsia" w:ascii="方正楷体_GBK" w:eastAsia="方正楷体_GBK" w:hAnsiTheme="majorEastAsia" w:cstheme="majorEastAsia"/>
          <w:sz w:val="32"/>
          <w:szCs w:val="32"/>
          <w:lang w:eastAsia="zh-CN"/>
        </w:rPr>
        <w:t>（征求意见稿）</w:t>
      </w:r>
    </w:p>
    <w:p>
      <w:pPr>
        <w:snapToGrid w:val="0"/>
        <w:spacing w:line="500" w:lineRule="exact"/>
        <w:jc w:val="center"/>
        <w:rPr>
          <w:rFonts w:ascii="方正楷体_GBK" w:eastAsia="方正楷体_GBK" w:hAnsiTheme="majorEastAsia" w:cstheme="majorEastAsia"/>
          <w:sz w:val="32"/>
          <w:szCs w:val="32"/>
          <w:lang w:eastAsia="zh-CN"/>
        </w:rPr>
      </w:pPr>
    </w:p>
    <w:p>
      <w:pPr>
        <w:spacing w:line="360" w:lineRule="auto"/>
        <w:jc w:val="center"/>
        <w:rPr>
          <w:rFonts w:ascii="方正黑体_GBK" w:hAnsi="黑体" w:eastAsia="方正黑体_GBK" w:cs="黑体"/>
          <w:sz w:val="32"/>
          <w:szCs w:val="32"/>
          <w:lang w:eastAsia="zh-CN"/>
        </w:rPr>
      </w:pPr>
      <w:r>
        <w:rPr>
          <w:rFonts w:hint="eastAsia" w:ascii="方正黑体_GBK" w:hAnsi="黑体" w:eastAsia="方正黑体_GBK" w:cs="黑体"/>
          <w:sz w:val="32"/>
          <w:szCs w:val="32"/>
          <w:lang w:eastAsia="zh-CN"/>
        </w:rPr>
        <w:t>第一章  总则</w:t>
      </w:r>
    </w:p>
    <w:p>
      <w:pPr>
        <w:spacing w:line="360" w:lineRule="exact"/>
        <w:ind w:firstLine="640" w:firstLineChars="200"/>
        <w:rPr>
          <w:rFonts w:ascii="方正黑体_GBK" w:hAnsi="黑体" w:eastAsia="方正黑体_GBK" w:cs="黑体"/>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第一条 </w:t>
      </w:r>
      <w:r>
        <w:rPr>
          <w:rFonts w:hint="eastAsia" w:ascii="方正仿宋_GBK" w:hAnsi="仿宋" w:eastAsia="方正仿宋_GBK" w:cs="仿宋"/>
          <w:kern w:val="21"/>
          <w:sz w:val="32"/>
          <w:szCs w:val="32"/>
        </w:rPr>
        <w:t>为维护渔港秩序，保护渔港环境，促进渔业经济发展</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加强渔港监督管理，保障渔港设施、渔业船舶、公民人身及财产安全，根据《中华人民共和国海上交通安全法》、《中华人民共和国环境保护法》、《中华人民共和国渔港水域交通安全管理条例》和《广东省渔港和渔业船舶管理条例》等有关法律法规，结合本港实际，制定本章程。</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第二条 </w:t>
      </w:r>
      <w:r>
        <w:rPr>
          <w:rFonts w:hint="eastAsia" w:ascii="方正仿宋_GBK" w:hAnsi="仿宋" w:eastAsia="方正仿宋_GBK" w:cs="仿宋"/>
          <w:kern w:val="21"/>
          <w:sz w:val="32"/>
          <w:szCs w:val="32"/>
        </w:rPr>
        <w:t>本章程适用于在杨柑渔港范围内的船舶及从事渔港管理、经营活动的公民、法人和其他组织。</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遂溪县农业农村局为杨柑渔港管理的主管部门，</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为杨柑渔港的监督机构；杨柑镇人民政府为杨柑渔港的经营管理主体。</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涉及渔港管理的各成员单位及其职能部门根据各自职责负责相应的管理工作。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杨柑镇人民政府负责杨柑渔港事务管理工作，包括陆域（含码头泊位安排、经营）环境卫生、渔港设施维护管理和渔港生产经营单位管理等。</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遂溪县农业农村局、</w:t>
      </w:r>
      <w:r>
        <w:rPr>
          <w:rFonts w:hint="eastAsia" w:ascii="方正仿宋_GBK" w:hAnsi="仿宋" w:eastAsia="方正仿宋_GBK" w:cs="仿宋"/>
          <w:kern w:val="21"/>
          <w:sz w:val="32"/>
          <w:szCs w:val="32"/>
          <w:lang w:eastAsia="zh-CN"/>
        </w:rPr>
        <w:t>广东省渔政总队遂溪大队</w:t>
      </w:r>
      <w:r>
        <w:rPr>
          <w:rFonts w:hint="eastAsia" w:ascii="方正仿宋_GBK" w:hAnsi="仿宋" w:eastAsia="方正仿宋_GBK" w:cs="仿宋"/>
          <w:kern w:val="21"/>
          <w:sz w:val="32"/>
          <w:szCs w:val="32"/>
        </w:rPr>
        <w:t>负责渔港区域内的渔港水域安全管理、渔业船舶管理工作。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杨柑镇边防派出所负责渔港区域内社会治安及出海渔船管理等工作，配合做好船舶通航及港口的社会治安综合治理等工作。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县消防救援大队</w:t>
      </w:r>
      <w:r>
        <w:rPr>
          <w:rFonts w:hint="eastAsia" w:ascii="方正仿宋_GBK" w:hAnsi="仿宋" w:eastAsia="方正仿宋_GBK" w:cs="仿宋"/>
          <w:kern w:val="21"/>
          <w:sz w:val="32"/>
          <w:szCs w:val="32"/>
        </w:rPr>
        <w:t>负责对渔港区域的消防管理工作进行监督。</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县市场监督管理局负责渔港区域内的生产经营秩序管理工作。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县发展和改革局</w:t>
      </w:r>
      <w:r>
        <w:rPr>
          <w:rFonts w:hint="eastAsia" w:ascii="方正仿宋_GBK" w:hAnsi="仿宋" w:eastAsia="方正仿宋_GBK" w:cs="仿宋"/>
          <w:kern w:val="21"/>
          <w:sz w:val="32"/>
          <w:szCs w:val="32"/>
        </w:rPr>
        <w:t>、</w:t>
      </w:r>
      <w:r>
        <w:rPr>
          <w:rFonts w:hint="eastAsia" w:ascii="方正仿宋_GBK" w:hAnsi="仿宋" w:eastAsia="方正仿宋_GBK" w:cs="仿宋"/>
          <w:kern w:val="21"/>
          <w:sz w:val="32"/>
          <w:szCs w:val="32"/>
          <w:lang w:eastAsia="zh-CN"/>
        </w:rPr>
        <w:t>遂溪</w:t>
      </w:r>
      <w:r>
        <w:rPr>
          <w:rFonts w:hint="eastAsia" w:ascii="方正仿宋_GBK" w:hAnsi="仿宋_GB2312" w:eastAsia="方正仿宋_GBK" w:cs="仿宋_GB2312"/>
          <w:kern w:val="21"/>
          <w:sz w:val="32"/>
          <w:szCs w:val="32"/>
        </w:rPr>
        <w:t>县科工贸和信息化局</w:t>
      </w:r>
      <w:r>
        <w:rPr>
          <w:rFonts w:hint="eastAsia" w:ascii="方正仿宋_GBK" w:hAnsi="仿宋" w:eastAsia="方正仿宋_GBK" w:cs="仿宋"/>
          <w:kern w:val="21"/>
          <w:sz w:val="32"/>
          <w:szCs w:val="32"/>
        </w:rPr>
        <w:t xml:space="preserve">负责渔港区域内的成品油经营许可及管理工作。 </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供电</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负责渔港区域内的</w:t>
      </w:r>
      <w:r>
        <w:rPr>
          <w:rFonts w:hint="eastAsia" w:ascii="方正仿宋_GBK" w:hAnsi="仿宋" w:eastAsia="方正仿宋_GBK" w:cs="仿宋"/>
          <w:kern w:val="21"/>
          <w:sz w:val="32"/>
          <w:szCs w:val="32"/>
          <w:lang w:eastAsia="zh-CN"/>
        </w:rPr>
        <w:t>供电</w:t>
      </w:r>
      <w:r>
        <w:rPr>
          <w:rFonts w:hint="eastAsia" w:ascii="方正仿宋_GBK" w:hAnsi="仿宋" w:eastAsia="方正仿宋_GBK" w:cs="仿宋"/>
          <w:kern w:val="21"/>
          <w:sz w:val="32"/>
          <w:szCs w:val="32"/>
        </w:rPr>
        <w:t>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rPr>
        <w:t>县应急管理</w:t>
      </w:r>
      <w:r>
        <w:rPr>
          <w:rFonts w:hint="eastAsia" w:ascii="方正仿宋_GBK" w:hAnsi="方正仿宋_GBK" w:eastAsia="方正仿宋_GBK" w:cs="方正仿宋_GBK"/>
          <w:sz w:val="32"/>
          <w:szCs w:val="32"/>
          <w:lang w:eastAsia="zh-CN"/>
        </w:rPr>
        <w:t>局</w:t>
      </w:r>
      <w:r>
        <w:rPr>
          <w:rFonts w:hint="eastAsia" w:ascii="方正仿宋_GBK" w:hAnsi="方正仿宋_GBK" w:eastAsia="方正仿宋_GBK" w:cs="方正仿宋_GBK"/>
          <w:color w:val="auto"/>
          <w:sz w:val="32"/>
          <w:szCs w:val="32"/>
          <w:lang w:eastAsia="zh-CN"/>
        </w:rPr>
        <w:t>对</w:t>
      </w:r>
      <w:r>
        <w:rPr>
          <w:rFonts w:hint="eastAsia" w:ascii="方正仿宋_GBK" w:hAnsi="方正仿宋_GBK" w:eastAsia="方正仿宋_GBK" w:cs="方正仿宋_GBK"/>
          <w:sz w:val="32"/>
          <w:szCs w:val="32"/>
          <w:lang w:eastAsia="zh-CN"/>
        </w:rPr>
        <w:t>全县渔港安全工作实施监督管理。</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方正仿宋_GBK" w:eastAsia="方正仿宋_GBK" w:cs="方正仿宋_GBK"/>
          <w:sz w:val="32"/>
          <w:szCs w:val="32"/>
          <w:lang w:eastAsia="zh-CN"/>
        </w:rPr>
        <w:t>遂溪县住房和城乡建设局</w:t>
      </w:r>
      <w:r>
        <w:rPr>
          <w:rFonts w:hint="eastAsia" w:ascii="方正仿宋_GBK" w:hAnsi="仿宋" w:eastAsia="方正仿宋_GBK" w:cs="仿宋"/>
          <w:kern w:val="21"/>
          <w:sz w:val="32"/>
          <w:szCs w:val="32"/>
        </w:rPr>
        <w:t>、杨柑镇政府负责渔港区域内港容港貌、环境卫生监督管理的指导工作。</w:t>
      </w:r>
    </w:p>
    <w:p>
      <w:pPr>
        <w:overflowPunct w:val="0"/>
        <w:spacing w:line="360" w:lineRule="auto"/>
        <w:ind w:firstLine="640" w:firstLineChars="200"/>
        <w:jc w:val="both"/>
        <w:rPr>
          <w:rFonts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遂溪</w:t>
      </w:r>
      <w:r>
        <w:rPr>
          <w:rFonts w:hint="eastAsia" w:ascii="方正仿宋_GBK" w:hAnsi="仿宋" w:eastAsia="方正仿宋_GBK" w:cs="仿宋"/>
          <w:sz w:val="32"/>
          <w:szCs w:val="32"/>
        </w:rPr>
        <w:t>县交通</w:t>
      </w:r>
      <w:r>
        <w:rPr>
          <w:rFonts w:hint="eastAsia" w:ascii="方正仿宋_GBK" w:hAnsi="仿宋" w:eastAsia="方正仿宋_GBK" w:cs="仿宋"/>
          <w:sz w:val="32"/>
          <w:szCs w:val="32"/>
          <w:lang w:eastAsia="zh-CN"/>
        </w:rPr>
        <w:t>运输局</w:t>
      </w:r>
      <w:r>
        <w:rPr>
          <w:rFonts w:hint="eastAsia" w:ascii="方正仿宋_GBK" w:hAnsi="仿宋" w:eastAsia="方正仿宋_GBK" w:cs="仿宋"/>
          <w:sz w:val="32"/>
          <w:szCs w:val="32"/>
        </w:rPr>
        <w:t>、</w:t>
      </w:r>
      <w:r>
        <w:rPr>
          <w:rFonts w:hint="eastAsia" w:ascii="方正仿宋_GBK" w:hAnsi="仿宋_GB2312" w:eastAsia="方正仿宋_GBK" w:cs="仿宋_GB2312"/>
          <w:sz w:val="32"/>
          <w:szCs w:val="32"/>
        </w:rPr>
        <w:t>湛江遂溪海事处</w:t>
      </w:r>
      <w:r>
        <w:rPr>
          <w:rFonts w:hint="eastAsia" w:ascii="方正仿宋_GBK" w:hAnsi="方正仿宋_GBK" w:eastAsia="方正仿宋_GBK" w:cs="方正仿宋_GBK"/>
          <w:sz w:val="32"/>
          <w:szCs w:val="32"/>
          <w:lang w:eastAsia="zh-CN"/>
        </w:rPr>
        <w:t>配合做好渔港区域内非渔业船舶的监督管理工作。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_GB2312" w:eastAsia="方正仿宋_GBK" w:cs="仿宋_GB2312"/>
          <w:kern w:val="21"/>
          <w:sz w:val="32"/>
          <w:szCs w:val="32"/>
        </w:rPr>
        <w:t>县文化广电旅游体育局</w:t>
      </w:r>
      <w:r>
        <w:rPr>
          <w:rFonts w:hint="eastAsia" w:ascii="方正仿宋_GBK" w:hAnsi="仿宋" w:eastAsia="方正仿宋_GBK" w:cs="仿宋"/>
          <w:kern w:val="21"/>
          <w:sz w:val="32"/>
          <w:szCs w:val="32"/>
        </w:rPr>
        <w:t>、</w:t>
      </w:r>
      <w:r>
        <w:rPr>
          <w:rFonts w:hint="eastAsia" w:ascii="方正仿宋_GBK" w:hAnsi="方正仿宋_GBK" w:eastAsia="方正仿宋_GBK" w:cs="方正仿宋_GBK"/>
          <w:kern w:val="21"/>
          <w:sz w:val="32"/>
          <w:szCs w:val="32"/>
          <w:lang w:eastAsia="zh-CN"/>
        </w:rPr>
        <w:t>遂溪</w:t>
      </w:r>
      <w:r>
        <w:rPr>
          <w:rFonts w:hint="eastAsia" w:ascii="方正仿宋_GBK" w:hAnsi="仿宋" w:eastAsia="方正仿宋_GBK" w:cs="仿宋"/>
          <w:kern w:val="21"/>
          <w:sz w:val="32"/>
          <w:szCs w:val="32"/>
          <w:lang w:eastAsia="zh-CN"/>
        </w:rPr>
        <w:t>县</w:t>
      </w:r>
      <w:r>
        <w:rPr>
          <w:rFonts w:hint="eastAsia" w:ascii="方正仿宋_GBK" w:hAnsi="仿宋" w:eastAsia="方正仿宋_GBK" w:cs="仿宋"/>
          <w:kern w:val="21"/>
          <w:sz w:val="32"/>
          <w:szCs w:val="32"/>
        </w:rPr>
        <w:t>财政</w:t>
      </w:r>
      <w:r>
        <w:rPr>
          <w:rFonts w:hint="eastAsia" w:ascii="方正仿宋_GBK" w:hAnsi="仿宋" w:eastAsia="方正仿宋_GBK" w:cs="仿宋"/>
          <w:kern w:val="21"/>
          <w:sz w:val="32"/>
          <w:szCs w:val="32"/>
          <w:lang w:eastAsia="zh-CN"/>
        </w:rPr>
        <w:t>局</w:t>
      </w:r>
      <w:r>
        <w:rPr>
          <w:rFonts w:hint="eastAsia" w:ascii="方正仿宋_GBK" w:hAnsi="仿宋" w:eastAsia="方正仿宋_GBK" w:cs="仿宋"/>
          <w:kern w:val="21"/>
          <w:sz w:val="32"/>
          <w:szCs w:val="32"/>
        </w:rPr>
        <w:t>等部门按照各自职责做好渔港的相关管理工作。</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第二章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渔港概况</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第四条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渔港位置</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杨柑渔港所在地在杨柑镇，杨柑镇隶属于广东省湛江市遂溪县，东接杨柑镇</w:t>
      </w:r>
      <w:r>
        <w:rPr>
          <w:rFonts w:hint="eastAsia" w:ascii="方正仿宋_GBK" w:hAnsi="仿宋" w:eastAsia="方正仿宋_GBK" w:cs="仿宋"/>
          <w:kern w:val="21"/>
          <w:sz w:val="32"/>
          <w:szCs w:val="32"/>
          <w:lang w:eastAsia="zh-CN"/>
        </w:rPr>
        <w:t>甘来村</w:t>
      </w:r>
      <w:r>
        <w:rPr>
          <w:rFonts w:hint="eastAsia" w:ascii="方正仿宋_GBK" w:hAnsi="仿宋" w:eastAsia="方正仿宋_GBK" w:cs="仿宋"/>
          <w:kern w:val="21"/>
          <w:sz w:val="32"/>
          <w:szCs w:val="32"/>
        </w:rPr>
        <w:t>，西</w:t>
      </w:r>
      <w:r>
        <w:rPr>
          <w:rFonts w:hint="eastAsia" w:ascii="方正仿宋_GBK" w:hAnsi="仿宋" w:eastAsia="方正仿宋_GBK" w:cs="仿宋"/>
          <w:kern w:val="21"/>
          <w:sz w:val="32"/>
          <w:szCs w:val="32"/>
          <w:lang w:eastAsia="zh-CN"/>
        </w:rPr>
        <w:t>接下六东港</w:t>
      </w:r>
      <w:r>
        <w:rPr>
          <w:rFonts w:hint="eastAsia" w:ascii="方正仿宋_GBK" w:hAnsi="仿宋" w:eastAsia="方正仿宋_GBK" w:cs="仿宋"/>
          <w:kern w:val="21"/>
          <w:sz w:val="32"/>
          <w:szCs w:val="32"/>
        </w:rPr>
        <w:t>、北临北部湾。</w:t>
      </w:r>
    </w:p>
    <w:p>
      <w:pPr>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第五条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渔港范围（包括陆域、水域，标示主要座标点）</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杨柑渔港位于</w:t>
      </w:r>
      <w:r>
        <w:rPr>
          <w:rFonts w:hint="eastAsia" w:ascii="方正仿宋_GBK" w:hAnsi="仿宋" w:eastAsia="方正仿宋_GBK" w:cs="仿宋"/>
          <w:kern w:val="21"/>
          <w:sz w:val="32"/>
          <w:szCs w:val="32"/>
          <w:lang w:eastAsia="zh-CN"/>
        </w:rPr>
        <w:t>东经109°49′50″，北纬21°20′47″</w:t>
      </w:r>
      <w:r>
        <w:rPr>
          <w:rFonts w:hint="eastAsia" w:ascii="方正仿宋_GBK" w:hAnsi="仿宋" w:eastAsia="方正仿宋_GBK" w:cs="仿宋"/>
          <w:kern w:val="21"/>
          <w:sz w:val="32"/>
          <w:szCs w:val="32"/>
        </w:rPr>
        <w:t>渔港为天然渔港。</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第三章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渔港经营</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lang w:eastAsia="zh-CN"/>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六</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从事渔港经营活动的单位和个人，必须向杨柑镇人民政府书面申请，依法办理工商登记，方可从事渔港经营活动（如有非财政资金建设的设施，可由投资方自主经营，报政府备案）</w:t>
      </w:r>
      <w:r>
        <w:rPr>
          <w:rFonts w:hint="eastAsia" w:ascii="方正仿宋_GBK" w:hAnsi="仿宋" w:eastAsia="方正仿宋_GBK" w:cs="仿宋"/>
          <w:kern w:val="21"/>
          <w:sz w:val="32"/>
          <w:szCs w:val="32"/>
          <w:lang w:eastAsia="zh-CN"/>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七</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渔港经营主体必须遵守渔港管理的有关</w:t>
      </w:r>
      <w:r>
        <w:rPr>
          <w:rFonts w:hint="eastAsia" w:ascii="方正仿宋_GBK" w:hAnsi="仿宋" w:eastAsia="方正仿宋_GBK" w:cs="仿宋"/>
          <w:kern w:val="21"/>
          <w:sz w:val="32"/>
          <w:szCs w:val="32"/>
          <w:lang w:eastAsia="zh-CN"/>
        </w:rPr>
        <w:t>法律法规，</w:t>
      </w:r>
      <w:r>
        <w:rPr>
          <w:rFonts w:hint="eastAsia" w:ascii="方正仿宋_GBK" w:hAnsi="仿宋" w:eastAsia="方正仿宋_GBK" w:cs="仿宋"/>
          <w:kern w:val="21"/>
          <w:sz w:val="32"/>
          <w:szCs w:val="32"/>
        </w:rPr>
        <w:t xml:space="preserve"> 依法经营，并服从渔政监督管理机构及其他主管部门的管理，负责制定安全应急处置预案并组织实施。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八</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从事渔港经营活动的组织、个人及船舶，应当加强安全生产管理，保障渔港设施、码头、道路的正常运作，并对经营活动范围内的安全工作负责。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九</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渔港经营主体应当提供公平、良好的服务，承担渔港日常维护，并在其经营场所公布经营服务收费项目和标准，使用国家规定的经营票据。</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经营主体应当按照核定功能使用渔港设施，配备相应的人员、设备，并保证渔港设施处于良好状态。</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一</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经营主体从事危险品作业的，应当向遂溪县渔政监督管理机构依法申请并取得《危险品装卸许可证》，在核定范围和时间内开展作业。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二</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经营主体使用渔港水域进行作业的，应当向渔政监督管理机构依法申请并取得水上水下施工许可，在作业期间及时报告作业动态。</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第四章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渔港安全管理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三</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遂溪县农业农村局作为杨柑渔港主管部门，负责牵头协调渔港安全生产工作。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四</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杨柑镇人民政府制定渔港防台风预案，细化遇强台风港内停泊的船上人员转移上岸预案。防台风期间，渔业行政主管机关、安全主管机关和渔港管理机构应按防台风预案履行职责。</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五</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防台风期间，业主、经营者、施工单位等应服从管理机构和安全主管机关的指挥调度；进港避风的船舶、非渔业船舶必须服从现场管理人员的指挥，在指定的泊位有序停泊；在发布防台风相应警报后，港区内停止装卸货、运输及交易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六</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港内发生火灾、沉船、碰撞等应急情况时，渔港管理机构和安全主管机关有权调度在港船舶协同救助。港内船舶应服从调度。</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七</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杨柑渔港的消防工作纳入属地消防责任制范围；杨柑镇政府应制定《渔港应急救援预案》并组织实施，组建消防管理网络；县消防救援机构应加强对渔港消防管理的监管工作。从事与渔港经营活动有关的单位应当制定安全生产突发事件应急预案，报杨柑镇政府和应急管理局备案。</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第十</w:t>
      </w:r>
      <w:r>
        <w:rPr>
          <w:rFonts w:hint="eastAsia" w:ascii="方正黑体_GBK" w:hAnsi="黑体" w:eastAsia="方正黑体_GBK" w:cs="黑体"/>
          <w:kern w:val="21"/>
          <w:sz w:val="32"/>
          <w:szCs w:val="32"/>
          <w:lang w:eastAsia="zh-CN"/>
        </w:rPr>
        <w:t>八</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船舶在渔港停泊期间必须留足值班人员，发生突发事件时</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事故现场有关人员应当及时发出呼救信号，并采取积极有效的自救、互救措施。接到报告的水上搜救中心应当及时组织、协调指挥救助行动。接到相关指令的相关部门、单位和船舶应当服从统一指挥，积极配合救助行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十九</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渔船在港停泊期间禁止燃放烟花爆竹。任何单位和个人未经渔政监督管理机构批准不得在渔港范围内进行明火作业，在渔港内燃放烟花爆竹。严禁在渔船停泊区域进行电、气、焊等危害渔港及船舶安全的相关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 xml:space="preserve"> 对影响安全航行、航道整治以及有潜在危险的沉没物、漂浮物，其所有人、经营人应当在主管机关限定的时间内打捞清除。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一</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渔港内石油供应站、点、车辆、船舶等供油设施，必须具备相应的资质，符合安全管理要求。严禁在渔港区域从事非法加油活动。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禁止危险化学品运输船舶进入渔港水域</w:t>
      </w:r>
      <w:r>
        <w:rPr>
          <w:rFonts w:hint="eastAsia" w:ascii="方正仿宋_GBK" w:hAnsi="方正仿宋_GBK" w:eastAsia="方正仿宋_GBK" w:cs="方正仿宋_GBK"/>
          <w:kern w:val="21"/>
          <w:sz w:val="32"/>
          <w:szCs w:val="32"/>
        </w:rPr>
        <w:t>。</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二</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爱护渔港助航、消防等各种公共设施，任何单位和个人不得侵占、损坏消防、助航、导航标志等渔港设施。发现航标漂失、移位、受损或者侵占、损坏渔港设施的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应立即向渔港管理机构报告，损坏者应恢复原状或照价赔偿。凡在港内或海上捞获漂浮、沉没物资，应当自觉送交渔政机构处理。</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三</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不得侵占、损坏消防、助航、导航标志等渔港设施，发现渔港设</w:t>
      </w:r>
      <w:r>
        <w:rPr>
          <w:rFonts w:hint="eastAsia" w:ascii="方正仿宋_GBK" w:hAnsi="方正仿宋_GBK" w:eastAsia="方正仿宋_GBK" w:cs="方正仿宋_GBK"/>
          <w:kern w:val="21"/>
          <w:sz w:val="32"/>
          <w:szCs w:val="32"/>
        </w:rPr>
        <w:t>施被侵占、损坏的应及时向主管机关报告。不得在渔港区域内擅自设置有</w:t>
      </w:r>
      <w:r>
        <w:rPr>
          <w:rFonts w:hint="eastAsia" w:ascii="方正仿宋_GBK" w:hAnsi="仿宋" w:eastAsia="方正仿宋_GBK" w:cs="仿宋"/>
          <w:kern w:val="21"/>
          <w:sz w:val="32"/>
          <w:szCs w:val="32"/>
        </w:rPr>
        <w:t>碍安全的标志，不得建造影响安全的设施。造成渔港设施损坏的，依法承担赔偿责任。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四</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自觉遵守国家法律法规及相关规定，维护渔港秩序。不得从事水上娱乐等妨碍渔港安全的相关活动，严禁从事偷渡、走私、贩毒等违法犯罪活动。</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五</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与渔港经营活动有关的单位和个人应加强安全生产管理，制定安全作业操作规程，保障渔港设施、码头、道路的正常运行，并对经营活动范围内的安全工作负责。</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第五章</w:t>
      </w:r>
      <w:r>
        <w:rPr>
          <w:rFonts w:hint="eastAsia" w:ascii="方正黑体_GBK" w:hAnsi="黑体" w:eastAsia="方正黑体_GBK" w:cs="黑体"/>
          <w:sz w:val="32"/>
          <w:szCs w:val="32"/>
          <w:lang w:eastAsia="zh-CN"/>
        </w:rPr>
        <w:t xml:space="preserve">  </w:t>
      </w:r>
      <w:r>
        <w:rPr>
          <w:rFonts w:hint="eastAsia" w:ascii="方正黑体_GBK" w:hAnsi="黑体" w:eastAsia="方正黑体_GBK" w:cs="黑体"/>
          <w:kern w:val="21"/>
          <w:sz w:val="32"/>
          <w:szCs w:val="32"/>
        </w:rPr>
        <w:t>渔港环境管理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六</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遵守环境保护的相关法律法规及渔港环境保护相关规定，防止对渔港水域及其周边环境造成污染和危害。</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在渔港区域范围外从事工程建设等活动可能导致港区淤积、水文变化或者危及渔港安全的，施工单位应当采取有效的防护措施。</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七</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严禁向港区内倾倒生活、生产、建筑垃圾，禁止排放废弃物、油类和油性混合物及其他污水等有害物质。禁止从事可能污染渔港水域、环境的作业活动。禁止在渔港内弃置废旧船舶。</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船舶垃圾应当交由具备资质的垃圾处理单位处理，不得排入本港水域。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渔船修造等可能产生污物的单位和个人应加强管理，设置污物围栏等防护措施，及时清理，防止污物进入渔港水域。</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第二十</w:t>
      </w:r>
      <w:r>
        <w:rPr>
          <w:rFonts w:hint="eastAsia" w:ascii="方正黑体_GBK" w:hAnsi="黑体" w:eastAsia="方正黑体_GBK" w:cs="黑体"/>
          <w:kern w:val="21"/>
          <w:sz w:val="32"/>
          <w:szCs w:val="32"/>
          <w:lang w:eastAsia="zh-CN"/>
        </w:rPr>
        <w:t>八</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严禁无证无照加油站、点、车、船在渔港范围内从事非法加油活动。加油时发生跑、冒、滴、漏的，当事人应当及时采取措施予以清除。</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二十九</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应当遵守供电部门的管理规定，做到规范安全用电，严禁私拉乱接岸电。</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第三十条 </w:t>
      </w:r>
      <w:r>
        <w:rPr>
          <w:rFonts w:hint="eastAsia" w:ascii="方正仿宋_GBK" w:hAnsi="仿宋" w:eastAsia="方正仿宋_GBK" w:cs="仿宋"/>
          <w:kern w:val="21"/>
          <w:sz w:val="32"/>
          <w:szCs w:val="32"/>
        </w:rPr>
        <w:t xml:space="preserve"> 应爱护渔港绿化及其他设施，严禁损毁渔港绿化设施，严禁在渔港边乱堆乱放杂物或违法搭建。</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一</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渔港水域发生污染事故应立即采取措施控制和消除污染</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并尽快报告，由</w:t>
      </w:r>
      <w:r>
        <w:rPr>
          <w:rFonts w:hint="eastAsia" w:ascii="方正仿宋_GBK" w:hAnsi="仿宋" w:eastAsia="方正仿宋_GBK" w:cs="仿宋"/>
          <w:kern w:val="21"/>
          <w:sz w:val="32"/>
          <w:szCs w:val="32"/>
          <w:lang w:eastAsia="zh-CN"/>
        </w:rPr>
        <w:t>湛江市生态环境局遂溪分局</w:t>
      </w:r>
      <w:r>
        <w:rPr>
          <w:rFonts w:hint="eastAsia" w:ascii="方正仿宋_GBK" w:hAnsi="仿宋" w:eastAsia="方正仿宋_GBK" w:cs="仿宋"/>
          <w:kern w:val="21"/>
          <w:sz w:val="32"/>
          <w:szCs w:val="32"/>
        </w:rPr>
        <w:t>依法进行调查处理。</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第六章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渔业船舶进出渔港管理</w:t>
      </w:r>
    </w:p>
    <w:p>
      <w:pPr>
        <w:spacing w:line="360" w:lineRule="exact"/>
        <w:jc w:val="center"/>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二</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船舶进出渔港，应当遵守渔港章程和避碰规则等规定，在进港后24小时内或离港前，向渔政监督机构申请办理进出港报告手续，并接受安全检查。</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三</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船舶在渔港内航行、作业、停泊，必须按顺序进行，严禁船舶追越、争档抢位和在航道内锚泊。公务船在执行应急任务时有优先通行权。</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四</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港澳台渔船及非渔业船舶进出渔港，应根据规定向公安、渔政等相关部门报告，各相关部门依照各自职责做好监督检查和服务工作。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五</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船舶有下列情形之一的，渔政监督管理机构有权禁止其离港，或者责令其停航、停止作业。</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（一）违反中华人民共和国法律、法规或者规章的。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（二）处于不适航的。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（三）发生交通事故，手续未清的。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（四）未按规定配备、开启通讯定位等终端设备，未向有关部门交付应当承担安全保证金等费用，未签署安全责任状等文件的。</w:t>
      </w:r>
    </w:p>
    <w:p>
      <w:pPr>
        <w:spacing w:line="360" w:lineRule="auto"/>
        <w:ind w:firstLine="640" w:firstLineChars="200"/>
        <w:jc w:val="both"/>
        <w:rPr>
          <w:rFonts w:ascii="方正仿宋_GBK" w:hAnsi="仿宋" w:eastAsia="方正仿宋_GBK" w:cs="仿宋"/>
          <w:kern w:val="21"/>
          <w:sz w:val="32"/>
          <w:szCs w:val="32"/>
        </w:rPr>
      </w:pPr>
      <w:r>
        <w:rPr>
          <w:rFonts w:hint="eastAsia" w:ascii="方正仿宋_GBK" w:hAnsi="仿宋" w:eastAsia="方正仿宋_GBK" w:cs="仿宋"/>
          <w:kern w:val="21"/>
          <w:sz w:val="32"/>
          <w:szCs w:val="32"/>
        </w:rPr>
        <w:t>（五）违反本章程有关规定行为的。</w:t>
      </w:r>
    </w:p>
    <w:p>
      <w:pPr>
        <w:spacing w:line="360" w:lineRule="exact"/>
        <w:jc w:val="both"/>
        <w:rPr>
          <w:rFonts w:ascii="方正仿宋_GBK" w:hAnsi="仿宋" w:eastAsia="方正仿宋_GBK" w:cs="仿宋"/>
          <w:kern w:val="21"/>
          <w:sz w:val="32"/>
          <w:szCs w:val="32"/>
          <w:lang w:eastAsia="zh-CN"/>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第七章</w:t>
      </w:r>
      <w:r>
        <w:rPr>
          <w:rFonts w:hint="eastAsia" w:ascii="方正黑体_GBK" w:hAnsi="黑体" w:eastAsia="方正黑体_GBK" w:cs="黑体"/>
          <w:kern w:val="21"/>
          <w:sz w:val="32"/>
          <w:szCs w:val="32"/>
          <w:lang w:eastAsia="zh-CN"/>
        </w:rPr>
        <w:t xml:space="preserve">  水上</w:t>
      </w:r>
      <w:r>
        <w:rPr>
          <w:rFonts w:hint="eastAsia" w:ascii="方正黑体_GBK" w:hAnsi="黑体" w:eastAsia="方正黑体_GBK" w:cs="黑体"/>
          <w:kern w:val="21"/>
          <w:sz w:val="32"/>
          <w:szCs w:val="32"/>
        </w:rPr>
        <w:t>交通事故处理</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六</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渔港水域内的交通事故由渔政监督管理机构查明原因，判明责任，作出处理决定。渔港内发生水上交通事故的</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当事人应当及时向渔政监督管理机构报告，接受处理</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渔业船舶在港外发生的交通事故，应在进港四十八小时内向渔政监督管理机构递交事故报告书和有关材料。</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七</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渔港内渔船发生轻微碰撞事故</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双方当事人可以协商处理，协商不成的由渔政监督管理机构调处。</w:t>
      </w:r>
    </w:p>
    <w:p>
      <w:pPr>
        <w:spacing w:line="360" w:lineRule="exact"/>
        <w:ind w:firstLine="640" w:firstLineChars="200"/>
        <w:jc w:val="both"/>
        <w:rPr>
          <w:rFonts w:ascii="方正仿宋_GBK" w:hAnsi="仿宋" w:eastAsia="方正仿宋_GBK" w:cs="仿宋"/>
          <w:kern w:val="21"/>
          <w:sz w:val="32"/>
          <w:szCs w:val="32"/>
        </w:rPr>
      </w:pPr>
    </w:p>
    <w:p>
      <w:pPr>
        <w:spacing w:line="360" w:lineRule="auto"/>
        <w:jc w:val="center"/>
        <w:rPr>
          <w:rFonts w:ascii="方正黑体_GBK" w:hAnsi="黑体" w:eastAsia="方正黑体_GBK" w:cs="黑体"/>
          <w:kern w:val="21"/>
          <w:sz w:val="32"/>
          <w:szCs w:val="32"/>
        </w:rPr>
      </w:pPr>
      <w:r>
        <w:rPr>
          <w:rFonts w:hint="eastAsia" w:ascii="方正黑体_GBK" w:hAnsi="黑体" w:eastAsia="方正黑体_GBK" w:cs="黑体"/>
          <w:kern w:val="21"/>
          <w:sz w:val="32"/>
          <w:szCs w:val="32"/>
        </w:rPr>
        <w:t>第八章</w:t>
      </w:r>
      <w:r>
        <w:rPr>
          <w:rFonts w:hint="eastAsia" w:ascii="方正黑体_GBK" w:hAnsi="黑体" w:eastAsia="方正黑体_GBK" w:cs="黑体"/>
          <w:kern w:val="21"/>
          <w:sz w:val="32"/>
          <w:szCs w:val="32"/>
          <w:lang w:eastAsia="zh-CN"/>
        </w:rPr>
        <w:t xml:space="preserve">  </w:t>
      </w:r>
      <w:r>
        <w:rPr>
          <w:rFonts w:hint="eastAsia" w:ascii="方正黑体_GBK" w:hAnsi="黑体" w:eastAsia="方正黑体_GBK" w:cs="黑体"/>
          <w:kern w:val="21"/>
          <w:sz w:val="32"/>
          <w:szCs w:val="32"/>
        </w:rPr>
        <w:t>附则</w:t>
      </w:r>
    </w:p>
    <w:p>
      <w:pPr>
        <w:spacing w:line="360" w:lineRule="exact"/>
        <w:ind w:firstLine="640" w:firstLineChars="200"/>
        <w:jc w:val="both"/>
        <w:rPr>
          <w:rFonts w:ascii="方正黑体_GBK" w:hAnsi="黑体" w:eastAsia="方正黑体_GBK" w:cs="黑体"/>
          <w:kern w:val="21"/>
          <w:sz w:val="32"/>
          <w:szCs w:val="32"/>
        </w:rPr>
      </w:pP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第三十</w:t>
      </w:r>
      <w:r>
        <w:rPr>
          <w:rFonts w:hint="eastAsia" w:ascii="方正黑体_GBK" w:hAnsi="黑体" w:eastAsia="方正黑体_GBK" w:cs="黑体"/>
          <w:kern w:val="21"/>
          <w:sz w:val="32"/>
          <w:szCs w:val="32"/>
          <w:lang w:eastAsia="zh-CN"/>
        </w:rPr>
        <w:t>八</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发生公共卫生突发事件时，事发单位应当立即采取有效措施，并通知卫生防疫、检验检疫部门，做好应急救援工作。</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w:t>
      </w:r>
      <w:r>
        <w:rPr>
          <w:rFonts w:hint="eastAsia" w:ascii="方正黑体_GBK" w:hAnsi="黑体" w:eastAsia="方正黑体_GBK" w:cs="黑体"/>
          <w:kern w:val="21"/>
          <w:sz w:val="32"/>
          <w:szCs w:val="32"/>
          <w:lang w:eastAsia="zh-CN"/>
        </w:rPr>
        <w:t>三十九</w:t>
      </w:r>
      <w:r>
        <w:rPr>
          <w:rFonts w:hint="eastAsia" w:ascii="方正黑体_GBK" w:hAnsi="黑体" w:eastAsia="方正黑体_GBK" w:cs="黑体"/>
          <w:kern w:val="21"/>
          <w:sz w:val="32"/>
          <w:szCs w:val="32"/>
        </w:rPr>
        <w:t xml:space="preserve">条 </w:t>
      </w:r>
      <w:r>
        <w:rPr>
          <w:rFonts w:hint="eastAsia" w:ascii="方正仿宋_GBK" w:hAnsi="仿宋" w:eastAsia="方正仿宋_GBK" w:cs="仿宋"/>
          <w:kern w:val="21"/>
          <w:sz w:val="32"/>
          <w:szCs w:val="32"/>
        </w:rPr>
        <w:t xml:space="preserve"> 对违反本章程的，由各职能部门按其性质</w:t>
      </w:r>
      <w:r>
        <w:rPr>
          <w:rFonts w:hint="eastAsia" w:ascii="方正仿宋_GBK" w:hAnsi="仿宋" w:eastAsia="方正仿宋_GBK" w:cs="仿宋"/>
          <w:kern w:val="21"/>
          <w:sz w:val="32"/>
          <w:szCs w:val="32"/>
          <w:lang w:eastAsia="zh-CN"/>
        </w:rPr>
        <w:t>，</w:t>
      </w:r>
      <w:r>
        <w:rPr>
          <w:rFonts w:hint="eastAsia" w:ascii="方正仿宋_GBK" w:hAnsi="仿宋" w:eastAsia="方正仿宋_GBK" w:cs="仿宋"/>
          <w:kern w:val="21"/>
          <w:sz w:val="32"/>
          <w:szCs w:val="32"/>
        </w:rPr>
        <w:t>依法予以处理，情节严重，涉嫌犯罪的，移交司法机关依法追究刑事责任。</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 xml:space="preserve">第四十条  </w:t>
      </w:r>
      <w:r>
        <w:rPr>
          <w:rFonts w:hint="eastAsia" w:ascii="方正仿宋_GBK" w:hAnsi="仿宋" w:eastAsia="方正仿宋_GBK" w:cs="仿宋"/>
          <w:kern w:val="21"/>
          <w:sz w:val="32"/>
          <w:szCs w:val="32"/>
        </w:rPr>
        <w:t>本章程解释权属遂溪县农业农村局。</w:t>
      </w:r>
    </w:p>
    <w:p>
      <w:pPr>
        <w:spacing w:line="360" w:lineRule="auto"/>
        <w:ind w:firstLine="640" w:firstLineChars="200"/>
        <w:jc w:val="both"/>
        <w:rPr>
          <w:rFonts w:ascii="方正仿宋_GBK" w:hAnsi="仿宋" w:eastAsia="方正仿宋_GBK" w:cs="仿宋"/>
          <w:kern w:val="21"/>
          <w:sz w:val="32"/>
          <w:szCs w:val="32"/>
        </w:rPr>
      </w:pPr>
      <w:r>
        <w:rPr>
          <w:rFonts w:hint="eastAsia" w:ascii="方正黑体_GBK" w:hAnsi="黑体" w:eastAsia="方正黑体_GBK" w:cs="黑体"/>
          <w:kern w:val="21"/>
          <w:sz w:val="32"/>
          <w:szCs w:val="32"/>
        </w:rPr>
        <w:t>第四十</w:t>
      </w:r>
      <w:r>
        <w:rPr>
          <w:rFonts w:hint="eastAsia" w:ascii="方正黑体_GBK" w:hAnsi="黑体" w:eastAsia="方正黑体_GBK" w:cs="黑体"/>
          <w:kern w:val="21"/>
          <w:sz w:val="32"/>
          <w:szCs w:val="32"/>
          <w:lang w:eastAsia="zh-CN"/>
        </w:rPr>
        <w:t>一</w:t>
      </w:r>
      <w:r>
        <w:rPr>
          <w:rFonts w:hint="eastAsia" w:ascii="方正黑体_GBK" w:hAnsi="黑体" w:eastAsia="方正黑体_GBK" w:cs="黑体"/>
          <w:kern w:val="21"/>
          <w:sz w:val="32"/>
          <w:szCs w:val="32"/>
        </w:rPr>
        <w:t>条</w:t>
      </w:r>
      <w:r>
        <w:rPr>
          <w:rFonts w:hint="eastAsia" w:ascii="方正仿宋_GBK" w:hAnsi="黑体" w:eastAsia="方正仿宋_GBK" w:cs="黑体"/>
          <w:kern w:val="21"/>
          <w:sz w:val="32"/>
          <w:szCs w:val="32"/>
        </w:rPr>
        <w:t xml:space="preserve">  </w:t>
      </w:r>
      <w:r>
        <w:rPr>
          <w:rFonts w:hint="eastAsia" w:ascii="方正仿宋_GBK" w:hAnsi="仿宋" w:eastAsia="方正仿宋_GBK" w:cs="仿宋"/>
          <w:kern w:val="21"/>
          <w:sz w:val="32"/>
          <w:szCs w:val="32"/>
        </w:rPr>
        <w:t>本章程未规定的事项，按有关法律法规执行。</w:t>
      </w:r>
    </w:p>
    <w:p>
      <w:pPr>
        <w:spacing w:line="360" w:lineRule="auto"/>
        <w:ind w:firstLine="640" w:firstLineChars="200"/>
        <w:jc w:val="both"/>
        <w:rPr>
          <w:rFonts w:ascii="方正仿宋_GBK" w:hAnsi="仿宋" w:eastAsia="方正仿宋_GBK" w:cs="仿宋"/>
          <w:sz w:val="32"/>
          <w:szCs w:val="32"/>
        </w:rPr>
      </w:pPr>
      <w:r>
        <w:rPr>
          <w:rFonts w:hint="eastAsia" w:ascii="方正黑体_GBK" w:hAnsi="黑体" w:eastAsia="方正黑体_GBK" w:cs="黑体"/>
          <w:kern w:val="21"/>
          <w:sz w:val="32"/>
          <w:szCs w:val="32"/>
        </w:rPr>
        <w:t>第四十</w:t>
      </w:r>
      <w:r>
        <w:rPr>
          <w:rFonts w:hint="eastAsia" w:ascii="方正黑体_GBK" w:hAnsi="黑体" w:eastAsia="方正黑体_GBK" w:cs="黑体"/>
          <w:kern w:val="21"/>
          <w:sz w:val="32"/>
          <w:szCs w:val="32"/>
          <w:lang w:eastAsia="zh-CN"/>
        </w:rPr>
        <w:t>二</w:t>
      </w:r>
      <w:r>
        <w:rPr>
          <w:rFonts w:hint="eastAsia" w:ascii="方正黑体_GBK" w:hAnsi="黑体" w:eastAsia="方正黑体_GBK" w:cs="黑体"/>
          <w:kern w:val="21"/>
          <w:sz w:val="32"/>
          <w:szCs w:val="32"/>
        </w:rPr>
        <w:t>条</w:t>
      </w:r>
      <w:r>
        <w:rPr>
          <w:rFonts w:hint="eastAsia" w:ascii="方正仿宋_GBK" w:hAnsi="仿宋" w:eastAsia="方正仿宋_GBK" w:cs="仿宋"/>
          <w:kern w:val="21"/>
          <w:sz w:val="32"/>
          <w:szCs w:val="32"/>
        </w:rPr>
        <w:t xml:space="preserve">  </w:t>
      </w:r>
      <w:r>
        <w:rPr>
          <w:rFonts w:hint="eastAsia" w:ascii="方正仿宋_GBK" w:hAnsi="方正仿宋_GBK" w:eastAsia="方正仿宋_GBK" w:cs="方正仿宋_GBK"/>
          <w:sz w:val="32"/>
          <w:szCs w:val="32"/>
          <w:lang w:eastAsia="zh-CN"/>
        </w:rPr>
        <w:t>本章程于2021年*月*日起执行</w:t>
      </w:r>
      <w:r>
        <w:rPr>
          <w:rFonts w:hint="eastAsia" w:ascii="方正仿宋_GBK" w:hAnsi="仿宋" w:eastAsia="方正仿宋_GBK" w:cs="仿宋"/>
          <w:kern w:val="21"/>
          <w:sz w:val="32"/>
          <w:szCs w:val="32"/>
        </w:rPr>
        <w:t>。</w:t>
      </w:r>
    </w:p>
    <w:p>
      <w:pPr>
        <w:spacing w:line="360" w:lineRule="auto"/>
        <w:rPr>
          <w:rFonts w:ascii="仿宋" w:hAnsi="仿宋" w:eastAsia="仿宋" w:cs="仿宋"/>
          <w:sz w:val="32"/>
          <w:szCs w:val="32"/>
          <w:lang w:eastAsia="zh-CN"/>
        </w:rPr>
      </w:pPr>
    </w:p>
    <w:p>
      <w:pPr>
        <w:spacing w:line="360" w:lineRule="auto"/>
        <w:rPr>
          <w:rFonts w:ascii="仿宋" w:hAnsi="仿宋" w:eastAsia="仿宋" w:cs="仿宋"/>
          <w:sz w:val="32"/>
          <w:szCs w:val="32"/>
          <w:lang w:eastAsia="zh-CN"/>
        </w:rPr>
      </w:pPr>
    </w:p>
    <w:p>
      <w:pPr>
        <w:spacing w:line="360" w:lineRule="auto"/>
        <w:rPr>
          <w:rFonts w:ascii="仿宋" w:hAnsi="仿宋" w:eastAsia="仿宋" w:cs="仿宋"/>
          <w:sz w:val="32"/>
          <w:szCs w:val="32"/>
          <w:lang w:eastAsia="zh-CN"/>
        </w:rPr>
      </w:pPr>
    </w:p>
    <w:p>
      <w:pPr>
        <w:spacing w:line="360" w:lineRule="auto"/>
        <w:rPr>
          <w:rFonts w:ascii="仿宋" w:hAnsi="仿宋" w:eastAsia="仿宋" w:cs="仿宋"/>
          <w:sz w:val="32"/>
          <w:szCs w:val="32"/>
          <w:lang w:eastAsia="zh-CN"/>
        </w:rPr>
      </w:pPr>
    </w:p>
    <w:p>
      <w:pPr>
        <w:spacing w:line="360" w:lineRule="auto"/>
        <w:rPr>
          <w:rFonts w:ascii="仿宋" w:hAnsi="仿宋" w:eastAsia="仿宋" w:cs="仿宋"/>
          <w:sz w:val="32"/>
          <w:szCs w:val="32"/>
          <w:lang w:eastAsia="zh-CN"/>
        </w:rPr>
      </w:pPr>
    </w:p>
    <w:p>
      <w:pPr>
        <w:spacing w:line="360" w:lineRule="auto"/>
        <w:jc w:val="center"/>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杨柑渔港</w:t>
      </w:r>
      <w:r>
        <w:rPr>
          <w:rFonts w:hint="eastAsia" w:ascii="方正黑体_GBK" w:hAnsi="仿宋" w:eastAsia="方正黑体_GBK" w:cs="仿宋"/>
          <w:sz w:val="32"/>
          <w:szCs w:val="32"/>
        </w:rPr>
        <w:t>港界矢量图</w:t>
      </w:r>
    </w:p>
    <w:p>
      <w:pPr>
        <w:spacing w:line="360" w:lineRule="auto"/>
        <w:jc w:val="center"/>
        <w:rPr>
          <w:rFonts w:ascii="仿宋" w:hAnsi="仿宋" w:eastAsia="仿宋" w:cs="仿宋"/>
          <w:sz w:val="32"/>
          <w:szCs w:val="32"/>
          <w:lang w:eastAsia="zh-CN"/>
        </w:rPr>
      </w:pPr>
    </w:p>
    <w:p>
      <w:pPr>
        <w:jc w:val="center"/>
        <w:rPr>
          <w:rFonts w:ascii="方正黑体_GBK" w:hAnsi="仿宋" w:eastAsia="方正黑体_GBK" w:cs="仿宋"/>
          <w:sz w:val="32"/>
          <w:szCs w:val="32"/>
          <w:lang w:eastAsia="zh-CN"/>
        </w:rPr>
      </w:pPr>
      <w:r>
        <w:rPr>
          <w:rFonts w:ascii="方正黑体_GBK" w:hAnsi="仿宋" w:eastAsia="方正黑体_GBK" w:cs="仿宋"/>
          <w:sz w:val="32"/>
          <w:szCs w:val="32"/>
          <w:lang w:eastAsia="zh-CN" w:bidi="ar-SA"/>
        </w:rPr>
        <w:drawing>
          <wp:inline distT="0" distB="0" distL="0" distR="0">
            <wp:extent cx="4114800" cy="5686425"/>
            <wp:effectExtent l="19050" t="0" r="0" b="0"/>
            <wp:docPr id="2" name="图片 1" descr="C:\Users\ADMINI~1\AppData\Local\Temp\WeChat Files\4bfa960ad188ceba002efbae1aa45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4bfa960ad188ceba002efbae1aa4537.png"/>
                    <pic:cNvPicPr>
                      <a:picLocks noChangeAspect="1" noChangeArrowheads="1"/>
                    </pic:cNvPicPr>
                  </pic:nvPicPr>
                  <pic:blipFill>
                    <a:blip r:embed="rId5" cstate="print"/>
                    <a:srcRect/>
                    <a:stretch>
                      <a:fillRect/>
                    </a:stretch>
                  </pic:blipFill>
                  <pic:spPr>
                    <a:xfrm>
                      <a:off x="0" y="0"/>
                      <a:ext cx="4114800" cy="5686425"/>
                    </a:xfrm>
                    <a:prstGeom prst="rect">
                      <a:avLst/>
                    </a:prstGeom>
                    <a:noFill/>
                    <a:ln w="9525">
                      <a:noFill/>
                      <a:miter lim="800000"/>
                      <a:headEnd/>
                      <a:tailEnd/>
                    </a:ln>
                  </pic:spPr>
                </pic:pic>
              </a:graphicData>
            </a:graphic>
          </wp:inline>
        </w:drawing>
      </w: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jc w:val="center"/>
        <w:rPr>
          <w:rFonts w:ascii="方正黑体_GBK" w:hAnsi="仿宋" w:eastAsia="方正黑体_GBK" w:cs="仿宋"/>
          <w:sz w:val="32"/>
          <w:szCs w:val="32"/>
        </w:rPr>
      </w:pPr>
    </w:p>
    <w:p>
      <w:pPr>
        <w:spacing w:line="560" w:lineRule="exact"/>
        <w:rPr>
          <w:rFonts w:ascii="方正黑体_GBK" w:hAnsi="仿宋" w:eastAsia="方正黑体_GBK" w:cs="仿宋"/>
          <w:sz w:val="32"/>
          <w:szCs w:val="32"/>
          <w:lang w:eastAsia="zh-CN"/>
        </w:rPr>
      </w:pPr>
    </w:p>
    <w:p>
      <w:pPr>
        <w:spacing w:line="560" w:lineRule="exact"/>
        <w:jc w:val="center"/>
        <w:rPr>
          <w:rFonts w:hint="eastAsia" w:ascii="方正黑体_GBK" w:hAnsi="仿宋" w:eastAsia="方正黑体_GBK" w:cs="仿宋"/>
          <w:sz w:val="32"/>
          <w:szCs w:val="32"/>
        </w:rPr>
      </w:pPr>
      <w:r>
        <w:rPr>
          <w:rFonts w:hint="eastAsia" w:ascii="方正黑体_GBK" w:hAnsi="仿宋" w:eastAsia="方正黑体_GBK" w:cs="仿宋"/>
          <w:sz w:val="32"/>
          <w:szCs w:val="32"/>
          <w:lang w:eastAsia="zh-CN"/>
        </w:rPr>
        <w:t>杨柑渔港</w:t>
      </w:r>
      <w:r>
        <w:rPr>
          <w:rFonts w:hint="eastAsia" w:ascii="方正黑体_GBK" w:hAnsi="仿宋" w:eastAsia="方正黑体_GBK" w:cs="仿宋"/>
          <w:sz w:val="32"/>
          <w:szCs w:val="32"/>
        </w:rPr>
        <w:t>功能区划图</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仿宋" w:eastAsia="方正黑体_GBK" w:cs="仿宋"/>
          <w:sz w:val="32"/>
          <w:szCs w:val="32"/>
        </w:rPr>
      </w:pPr>
      <w:bookmarkStart w:id="0" w:name="_GoBack"/>
      <w:bookmarkEnd w:id="0"/>
    </w:p>
    <w:p>
      <w:pPr>
        <w:jc w:val="center"/>
        <w:rPr>
          <w:rFonts w:ascii="方正黑体_GBK" w:hAnsi="仿宋" w:eastAsia="方正黑体_GBK" w:cs="仿宋"/>
          <w:sz w:val="32"/>
          <w:szCs w:val="32"/>
          <w:lang w:eastAsia="zh-CN"/>
        </w:rPr>
      </w:pPr>
      <w:r>
        <w:rPr>
          <w:rFonts w:ascii="方正黑体_GBK" w:hAnsi="仿宋" w:eastAsia="方正黑体_GBK" w:cs="仿宋"/>
          <w:sz w:val="32"/>
          <w:szCs w:val="32"/>
          <w:lang w:eastAsia="zh-CN" w:bidi="ar-SA"/>
        </w:rPr>
        <w:drawing>
          <wp:inline distT="0" distB="0" distL="114300" distR="114300">
            <wp:extent cx="5269230" cy="7534910"/>
            <wp:effectExtent l="0" t="0" r="7620" b="8890"/>
            <wp:docPr id="3" name="图片 3" descr="下六（东港）渔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下六（东港）渔港"/>
                    <pic:cNvPicPr>
                      <a:picLocks noChangeAspect="1"/>
                    </pic:cNvPicPr>
                  </pic:nvPicPr>
                  <pic:blipFill>
                    <a:blip r:embed="rId6" cstate="print"/>
                    <a:stretch>
                      <a:fillRect/>
                    </a:stretch>
                  </pic:blipFill>
                  <pic:spPr>
                    <a:xfrm>
                      <a:off x="0" y="0"/>
                      <a:ext cx="5269230" cy="7534910"/>
                    </a:xfrm>
                    <a:prstGeom prst="rect">
                      <a:avLst/>
                    </a:prstGeom>
                  </pic:spPr>
                </pic:pic>
              </a:graphicData>
            </a:graphic>
          </wp:inline>
        </w:drawing>
      </w:r>
    </w:p>
    <w:p>
      <w:pPr>
        <w:spacing w:line="360" w:lineRule="auto"/>
        <w:jc w:val="center"/>
        <w:rPr>
          <w:rFonts w:ascii="方正黑体_GBK" w:hAnsi="仿宋" w:eastAsia="方正黑体_GBK"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pPr>
      <w:spacing w:line="1" w:lineRule="exac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F254A1"/>
    <w:rsid w:val="00062242"/>
    <w:rsid w:val="000B6C7F"/>
    <w:rsid w:val="000F7642"/>
    <w:rsid w:val="00102AD1"/>
    <w:rsid w:val="00127F1D"/>
    <w:rsid w:val="00132A35"/>
    <w:rsid w:val="0015167E"/>
    <w:rsid w:val="001541C8"/>
    <w:rsid w:val="00167F56"/>
    <w:rsid w:val="001775C0"/>
    <w:rsid w:val="001B5731"/>
    <w:rsid w:val="001C1FC3"/>
    <w:rsid w:val="001C226D"/>
    <w:rsid w:val="001C29B6"/>
    <w:rsid w:val="001D444C"/>
    <w:rsid w:val="001D78D7"/>
    <w:rsid w:val="001F4AAD"/>
    <w:rsid w:val="00216863"/>
    <w:rsid w:val="0024744B"/>
    <w:rsid w:val="00253627"/>
    <w:rsid w:val="00261D2D"/>
    <w:rsid w:val="002648F5"/>
    <w:rsid w:val="002B7026"/>
    <w:rsid w:val="002D25AC"/>
    <w:rsid w:val="002E3151"/>
    <w:rsid w:val="002E3D4A"/>
    <w:rsid w:val="002E7BC2"/>
    <w:rsid w:val="00360EF0"/>
    <w:rsid w:val="003667F5"/>
    <w:rsid w:val="003976DE"/>
    <w:rsid w:val="003B0B75"/>
    <w:rsid w:val="003B4261"/>
    <w:rsid w:val="003C6D46"/>
    <w:rsid w:val="003E34CB"/>
    <w:rsid w:val="003E34FE"/>
    <w:rsid w:val="003E71AF"/>
    <w:rsid w:val="003F078F"/>
    <w:rsid w:val="004052B6"/>
    <w:rsid w:val="00427290"/>
    <w:rsid w:val="004524F7"/>
    <w:rsid w:val="00454C37"/>
    <w:rsid w:val="004677C7"/>
    <w:rsid w:val="00494668"/>
    <w:rsid w:val="004D1023"/>
    <w:rsid w:val="004D570E"/>
    <w:rsid w:val="004F4FCE"/>
    <w:rsid w:val="00506B8A"/>
    <w:rsid w:val="00511EF7"/>
    <w:rsid w:val="00516881"/>
    <w:rsid w:val="00527797"/>
    <w:rsid w:val="0055546E"/>
    <w:rsid w:val="0055567E"/>
    <w:rsid w:val="00555C12"/>
    <w:rsid w:val="00557871"/>
    <w:rsid w:val="00561C65"/>
    <w:rsid w:val="005970A7"/>
    <w:rsid w:val="005A43B7"/>
    <w:rsid w:val="005C1846"/>
    <w:rsid w:val="005E3EC0"/>
    <w:rsid w:val="006233D1"/>
    <w:rsid w:val="006B7831"/>
    <w:rsid w:val="006C3E25"/>
    <w:rsid w:val="006D4549"/>
    <w:rsid w:val="006E4342"/>
    <w:rsid w:val="006E64B0"/>
    <w:rsid w:val="006E78CB"/>
    <w:rsid w:val="0075616E"/>
    <w:rsid w:val="00757858"/>
    <w:rsid w:val="00761F49"/>
    <w:rsid w:val="00794485"/>
    <w:rsid w:val="007B6C07"/>
    <w:rsid w:val="007C0420"/>
    <w:rsid w:val="007C10EB"/>
    <w:rsid w:val="007D3D67"/>
    <w:rsid w:val="007E566E"/>
    <w:rsid w:val="007E6839"/>
    <w:rsid w:val="008337C7"/>
    <w:rsid w:val="008418F2"/>
    <w:rsid w:val="008734E5"/>
    <w:rsid w:val="0088746D"/>
    <w:rsid w:val="00894F34"/>
    <w:rsid w:val="008B0F06"/>
    <w:rsid w:val="008D09BF"/>
    <w:rsid w:val="008E29DE"/>
    <w:rsid w:val="008F7098"/>
    <w:rsid w:val="009341F4"/>
    <w:rsid w:val="00945E4F"/>
    <w:rsid w:val="00975560"/>
    <w:rsid w:val="00981726"/>
    <w:rsid w:val="009B74F4"/>
    <w:rsid w:val="009C5E78"/>
    <w:rsid w:val="009F26AA"/>
    <w:rsid w:val="009F3927"/>
    <w:rsid w:val="009F7D0C"/>
    <w:rsid w:val="00A22F4B"/>
    <w:rsid w:val="00A3013A"/>
    <w:rsid w:val="00A373DC"/>
    <w:rsid w:val="00A7467A"/>
    <w:rsid w:val="00A81611"/>
    <w:rsid w:val="00AC21B9"/>
    <w:rsid w:val="00AC5190"/>
    <w:rsid w:val="00B03575"/>
    <w:rsid w:val="00B10516"/>
    <w:rsid w:val="00B51414"/>
    <w:rsid w:val="00B61131"/>
    <w:rsid w:val="00B63361"/>
    <w:rsid w:val="00B809CC"/>
    <w:rsid w:val="00B83A45"/>
    <w:rsid w:val="00B957BD"/>
    <w:rsid w:val="00B97B7A"/>
    <w:rsid w:val="00BC0668"/>
    <w:rsid w:val="00BF6E3E"/>
    <w:rsid w:val="00C06E47"/>
    <w:rsid w:val="00C1680F"/>
    <w:rsid w:val="00C2672B"/>
    <w:rsid w:val="00C37E9A"/>
    <w:rsid w:val="00C90F99"/>
    <w:rsid w:val="00D12321"/>
    <w:rsid w:val="00D31CA2"/>
    <w:rsid w:val="00D40114"/>
    <w:rsid w:val="00D44E96"/>
    <w:rsid w:val="00D657D0"/>
    <w:rsid w:val="00DD0D47"/>
    <w:rsid w:val="00DD58FC"/>
    <w:rsid w:val="00E16326"/>
    <w:rsid w:val="00E16336"/>
    <w:rsid w:val="00E40399"/>
    <w:rsid w:val="00E41420"/>
    <w:rsid w:val="00E6723D"/>
    <w:rsid w:val="00E755EE"/>
    <w:rsid w:val="00EA58E0"/>
    <w:rsid w:val="00EB4796"/>
    <w:rsid w:val="00ED18A2"/>
    <w:rsid w:val="00EF0542"/>
    <w:rsid w:val="00EF1DB5"/>
    <w:rsid w:val="00F16275"/>
    <w:rsid w:val="00F21415"/>
    <w:rsid w:val="00F27762"/>
    <w:rsid w:val="00F30E66"/>
    <w:rsid w:val="00F8449F"/>
    <w:rsid w:val="00F910DD"/>
    <w:rsid w:val="00FE0B8A"/>
    <w:rsid w:val="00FE2AF9"/>
    <w:rsid w:val="033B12E0"/>
    <w:rsid w:val="05580E3E"/>
    <w:rsid w:val="0B702F57"/>
    <w:rsid w:val="15F76A12"/>
    <w:rsid w:val="16A15487"/>
    <w:rsid w:val="17F254A1"/>
    <w:rsid w:val="1CCE75E6"/>
    <w:rsid w:val="1EF0167E"/>
    <w:rsid w:val="2416652B"/>
    <w:rsid w:val="27353934"/>
    <w:rsid w:val="29704C05"/>
    <w:rsid w:val="2A507D20"/>
    <w:rsid w:val="2AC725A2"/>
    <w:rsid w:val="2B7F7977"/>
    <w:rsid w:val="2BBD0ED4"/>
    <w:rsid w:val="2D5F4CAE"/>
    <w:rsid w:val="2E60148D"/>
    <w:rsid w:val="32656612"/>
    <w:rsid w:val="344A1A5A"/>
    <w:rsid w:val="39A52580"/>
    <w:rsid w:val="3B2D3D7F"/>
    <w:rsid w:val="3DDA5B4D"/>
    <w:rsid w:val="3F89633B"/>
    <w:rsid w:val="448840E1"/>
    <w:rsid w:val="474C33FE"/>
    <w:rsid w:val="47FE040D"/>
    <w:rsid w:val="48453F97"/>
    <w:rsid w:val="4AE9093B"/>
    <w:rsid w:val="4BC32126"/>
    <w:rsid w:val="516A5CD1"/>
    <w:rsid w:val="51E763A7"/>
    <w:rsid w:val="53524C6C"/>
    <w:rsid w:val="57A12FE4"/>
    <w:rsid w:val="58B76428"/>
    <w:rsid w:val="60330B36"/>
    <w:rsid w:val="62C823DC"/>
    <w:rsid w:val="66C555F5"/>
    <w:rsid w:val="688A2DDF"/>
    <w:rsid w:val="6A5A2392"/>
    <w:rsid w:val="6C156253"/>
    <w:rsid w:val="70B1422F"/>
    <w:rsid w:val="75614E23"/>
    <w:rsid w:val="75AE6FF0"/>
    <w:rsid w:val="77803687"/>
    <w:rsid w:val="7BEE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99"/>
    <w:pPr>
      <w:tabs>
        <w:tab w:val="center" w:pos="4153"/>
        <w:tab w:val="right" w:pos="8306"/>
      </w:tabs>
      <w:snapToGrid w:val="0"/>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paragraph" w:customStyle="1" w:styleId="8">
    <w:name w:val="Heading #2|1"/>
    <w:basedOn w:val="1"/>
    <w:qFormat/>
    <w:uiPriority w:val="0"/>
    <w:pPr>
      <w:spacing w:after="530"/>
      <w:jc w:val="center"/>
      <w:outlineLvl w:val="1"/>
    </w:pPr>
    <w:rPr>
      <w:rFonts w:ascii="宋体" w:hAnsi="宋体" w:eastAsia="宋体" w:cs="宋体"/>
      <w:sz w:val="42"/>
      <w:szCs w:val="42"/>
      <w:lang w:val="zh-TW" w:eastAsia="zh-TW" w:bidi="zh-TW"/>
    </w:rPr>
  </w:style>
  <w:style w:type="paragraph" w:customStyle="1" w:styleId="9">
    <w:name w:val="Body text|1"/>
    <w:basedOn w:val="1"/>
    <w:qFormat/>
    <w:uiPriority w:val="0"/>
    <w:pPr>
      <w:spacing w:line="418" w:lineRule="auto"/>
      <w:ind w:firstLine="400"/>
    </w:pPr>
    <w:rPr>
      <w:rFonts w:ascii="宋体" w:hAnsi="宋体" w:eastAsia="宋体" w:cs="宋体"/>
      <w:sz w:val="30"/>
      <w:szCs w:val="30"/>
      <w:lang w:val="zh-TW" w:eastAsia="zh-TW" w:bidi="zh-TW"/>
    </w:rPr>
  </w:style>
  <w:style w:type="paragraph" w:customStyle="1" w:styleId="10">
    <w:name w:val="Header or footer|2"/>
    <w:basedOn w:val="1"/>
    <w:qFormat/>
    <w:uiPriority w:val="0"/>
    <w:rPr>
      <w:sz w:val="20"/>
      <w:szCs w:val="20"/>
      <w:lang w:val="zh-TW" w:eastAsia="zh-TW" w:bidi="zh-TW"/>
    </w:rPr>
  </w:style>
  <w:style w:type="paragraph" w:customStyle="1" w:styleId="11">
    <w:name w:val="Header or footer|1"/>
    <w:basedOn w:val="1"/>
    <w:qFormat/>
    <w:uiPriority w:val="0"/>
    <w:rPr>
      <w:sz w:val="28"/>
      <w:szCs w:val="28"/>
      <w:lang w:val="zh-TW" w:eastAsia="zh-TW" w:bidi="zh-TW"/>
    </w:rPr>
  </w:style>
  <w:style w:type="character" w:customStyle="1" w:styleId="12">
    <w:name w:val="页眉 Char"/>
    <w:basedOn w:val="6"/>
    <w:link w:val="4"/>
    <w:qFormat/>
    <w:uiPriority w:val="0"/>
    <w:rPr>
      <w:rFonts w:ascii="Times New Roman" w:hAnsi="Times New Roman" w:eastAsia="Times New Roman" w:cs="Times New Roman"/>
      <w:color w:val="000000"/>
      <w:sz w:val="18"/>
      <w:szCs w:val="18"/>
      <w:lang w:eastAsia="en-US" w:bidi="en-US"/>
    </w:rPr>
  </w:style>
  <w:style w:type="character" w:customStyle="1" w:styleId="13">
    <w:name w:val="页脚 Char"/>
    <w:basedOn w:val="6"/>
    <w:link w:val="3"/>
    <w:qFormat/>
    <w:uiPriority w:val="99"/>
    <w:rPr>
      <w:rFonts w:ascii="Times New Roman" w:hAnsi="Times New Roman" w:eastAsia="Times New Roman" w:cs="Times New Roman"/>
      <w:color w:val="000000"/>
      <w:sz w:val="18"/>
      <w:szCs w:val="18"/>
      <w:lang w:eastAsia="en-US" w:bidi="en-US"/>
    </w:rPr>
  </w:style>
  <w:style w:type="character" w:customStyle="1" w:styleId="14">
    <w:name w:val="批注框文本 Char"/>
    <w:basedOn w:val="6"/>
    <w:link w:val="2"/>
    <w:qFormat/>
    <w:uiPriority w:val="0"/>
    <w:rPr>
      <w:rFonts w:ascii="Times New Roman" w:hAnsi="Times New Roman" w:eastAsia="Times New Roman" w:cs="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595</Words>
  <Characters>3395</Characters>
  <Lines>28</Lines>
  <Paragraphs>7</Paragraphs>
  <TotalTime>2</TotalTime>
  <ScaleCrop>false</ScaleCrop>
  <LinksUpToDate>false</LinksUpToDate>
  <CharactersWithSpaces>3983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2021-07-28T07:50:00Z</dcterms:created>
  <dc:creator>WPS_1618451990</dc:creator>
  <cp:lastModifiedBy>18922081693</cp:lastModifiedBy>
  <cp:lastPrinted>2021-04-26T00:50:00Z</cp:lastPrinted>
  <dcterms:modified xsi:type="dcterms:W3CDTF">2021-07-29T09:05:06Z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7B3F02839BD542F6B1C77AC2AA008283</vt:lpwstr>
  </property>
</Properties>
</file>