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076">
      <w:pPr>
        <w:kinsoku/>
        <w:topLinePunct/>
        <w:autoSpaceDE/>
        <w:autoSpaceDN/>
        <w:adjustRightInd/>
        <w:snapToGrid/>
        <w:spacing w:line="570" w:lineRule="exact"/>
        <w:outlineLvl w:val="4"/>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3:</w:t>
      </w:r>
    </w:p>
    <w:p w14:paraId="3CF6A1A8">
      <w:pPr>
        <w:pStyle w:val="2"/>
        <w:spacing w:line="570" w:lineRule="exact"/>
        <w:rPr>
          <w:lang w:eastAsia="zh-CN"/>
        </w:rPr>
      </w:pPr>
    </w:p>
    <w:p w14:paraId="7A9EACCB">
      <w:pPr>
        <w:kinsoku/>
        <w:topLinePunct/>
        <w:autoSpaceDE/>
        <w:autoSpaceDN/>
        <w:adjustRightInd/>
        <w:snapToGrid/>
        <w:spacing w:line="570" w:lineRule="exact"/>
        <w:jc w:val="center"/>
        <w:outlineLvl w:val="4"/>
        <w:rPr>
          <w:rFonts w:hint="eastAsia" w:ascii="方正小标宋简体" w:hAnsi="方正小标宋简体" w:eastAsia="方正小标宋简体" w:cs="方正小标宋简体"/>
          <w:bCs/>
          <w:kern w:val="32"/>
          <w:sz w:val="44"/>
          <w:szCs w:val="44"/>
          <w:lang w:eastAsia="zh-CN"/>
        </w:rPr>
      </w:pPr>
      <w:r>
        <w:rPr>
          <w:rFonts w:hint="eastAsia" w:ascii="方正小标宋简体" w:hAnsi="方正小标宋简体" w:eastAsia="方正小标宋简体" w:cs="方正小标宋简体"/>
          <w:bCs/>
          <w:kern w:val="32"/>
          <w:sz w:val="44"/>
          <w:szCs w:val="44"/>
          <w:lang w:eastAsia="zh-CN"/>
        </w:rPr>
        <w:t>广东省遂溪县</w:t>
      </w:r>
      <w:r>
        <w:rPr>
          <w:rFonts w:hint="eastAsia" w:ascii="方正小标宋简体" w:hAnsi="方正小标宋简体" w:eastAsia="方正小标宋简体" w:cs="方正小标宋简体"/>
          <w:bCs/>
          <w:kern w:val="32"/>
          <w:sz w:val="44"/>
          <w:szCs w:val="44"/>
          <w:lang w:val="en-US" w:eastAsia="zh-CN"/>
        </w:rPr>
        <w:t>港门</w:t>
      </w:r>
      <w:r>
        <w:rPr>
          <w:rFonts w:hint="eastAsia" w:ascii="方正小标宋简体" w:hAnsi="方正小标宋简体" w:eastAsia="方正小标宋简体" w:cs="方正小标宋简体"/>
          <w:bCs/>
          <w:kern w:val="32"/>
          <w:sz w:val="44"/>
          <w:szCs w:val="44"/>
          <w:lang w:eastAsia="zh-CN"/>
        </w:rPr>
        <w:t>镇</w:t>
      </w:r>
      <w:r>
        <w:rPr>
          <w:rFonts w:hint="eastAsia" w:ascii="方正小标宋简体" w:hAnsi="方正小标宋简体" w:eastAsia="方正小标宋简体" w:cs="方正小标宋简体"/>
          <w:bCs/>
          <w:kern w:val="32"/>
          <w:sz w:val="44"/>
          <w:szCs w:val="44"/>
          <w:lang w:val="en-US" w:eastAsia="zh-CN"/>
        </w:rPr>
        <w:t>北地村</w:t>
      </w:r>
      <w:r>
        <w:rPr>
          <w:rFonts w:hint="eastAsia" w:ascii="方正小标宋简体" w:hAnsi="方正小标宋简体" w:eastAsia="方正小标宋简体" w:cs="方正小标宋简体"/>
          <w:bCs/>
          <w:kern w:val="32"/>
          <w:sz w:val="44"/>
          <w:szCs w:val="44"/>
          <w:lang w:eastAsia="zh-CN"/>
        </w:rPr>
        <w:t>矿区</w:t>
      </w:r>
      <w:r>
        <w:rPr>
          <w:rFonts w:hint="eastAsia" w:ascii="方正小标宋简体" w:hAnsi="方正小标宋简体" w:eastAsia="方正小标宋简体" w:cs="方正小标宋简体"/>
          <w:bCs/>
          <w:kern w:val="32"/>
          <w:sz w:val="44"/>
          <w:szCs w:val="44"/>
          <w:lang w:val="en-US" w:eastAsia="zh-CN"/>
        </w:rPr>
        <w:t>建筑</w:t>
      </w:r>
      <w:r>
        <w:rPr>
          <w:rFonts w:hint="eastAsia" w:ascii="方正小标宋简体" w:hAnsi="方正小标宋简体" w:eastAsia="方正小标宋简体" w:cs="方正小标宋简体"/>
          <w:bCs/>
          <w:kern w:val="32"/>
          <w:sz w:val="44"/>
          <w:szCs w:val="44"/>
          <w:lang w:eastAsia="zh-CN"/>
        </w:rPr>
        <w:t>用砂矿</w:t>
      </w:r>
    </w:p>
    <w:p w14:paraId="79C6DED3">
      <w:pPr>
        <w:kinsoku/>
        <w:topLinePunct/>
        <w:autoSpaceDE/>
        <w:autoSpaceDN/>
        <w:adjustRightInd/>
        <w:snapToGrid/>
        <w:spacing w:line="570" w:lineRule="exact"/>
        <w:jc w:val="center"/>
        <w:outlineLvl w:val="4"/>
        <w:rPr>
          <w:rFonts w:ascii="方正小标宋简体" w:hAnsi="方正小标宋简体" w:eastAsia="方正小标宋简体" w:cs="方正小标宋简体"/>
          <w:bCs/>
          <w:color w:val="auto"/>
          <w:sz w:val="32"/>
          <w:szCs w:val="32"/>
          <w:lang w:eastAsia="zh-CN"/>
        </w:rPr>
      </w:pPr>
      <w:r>
        <w:rPr>
          <w:rFonts w:hint="eastAsia" w:ascii="方正小标宋简体" w:hAnsi="方正小标宋简体" w:eastAsia="方正小标宋简体" w:cs="方正小标宋简体"/>
          <w:bCs/>
          <w:kern w:val="32"/>
          <w:sz w:val="44"/>
          <w:szCs w:val="44"/>
          <w:lang w:eastAsia="zh-CN"/>
        </w:rPr>
        <w:t>采矿权</w:t>
      </w:r>
      <w:r>
        <w:rPr>
          <w:rFonts w:hint="eastAsia" w:ascii="方正小标宋简体" w:hAnsi="方正小标宋简体" w:eastAsia="方正小标宋简体" w:cs="方正小标宋简体"/>
          <w:bCs/>
          <w:color w:val="auto"/>
          <w:sz w:val="44"/>
          <w:szCs w:val="44"/>
          <w:lang w:eastAsia="zh-CN"/>
        </w:rPr>
        <w:t>网上挂牌出让文件</w:t>
      </w:r>
    </w:p>
    <w:p w14:paraId="18AB2B53">
      <w:pPr>
        <w:kinsoku/>
        <w:topLinePunct/>
        <w:autoSpaceDE/>
        <w:autoSpaceDN/>
        <w:adjustRightInd/>
        <w:snapToGrid/>
        <w:spacing w:line="570" w:lineRule="exact"/>
        <w:jc w:val="both"/>
        <w:outlineLvl w:val="4"/>
        <w:rPr>
          <w:rFonts w:ascii="Times New Roman" w:hAnsi="Times New Roman" w:eastAsia="方正小标宋简体" w:cs="Times New Roman"/>
          <w:color w:val="auto"/>
          <w:sz w:val="44"/>
          <w:szCs w:val="44"/>
          <w:lang w:eastAsia="zh-CN"/>
        </w:rPr>
      </w:pPr>
    </w:p>
    <w:p w14:paraId="634A71C6">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665E3B8B">
      <w:pPr>
        <w:pStyle w:val="6"/>
        <w:kinsoku/>
        <w:topLinePunct/>
        <w:autoSpaceDE/>
        <w:autoSpaceDN/>
        <w:adjustRightInd/>
        <w:snapToGrid/>
        <w:spacing w:line="570" w:lineRule="exact"/>
        <w:ind w:firstLine="643"/>
        <w:outlineLvl w:val="4"/>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项目编号</w:t>
      </w:r>
      <w:r>
        <w:rPr>
          <w:rFonts w:hint="eastAsia" w:ascii="Times New Roman" w:hAnsi="Times New Roman" w:eastAsia="仿宋_GB2312" w:cs="Times New Roman"/>
          <w:color w:val="auto"/>
          <w:sz w:val="32"/>
          <w:szCs w:val="32"/>
          <w:lang w:eastAsia="zh-CN"/>
        </w:rPr>
        <w:t>：</w:t>
      </w:r>
    </w:p>
    <w:p w14:paraId="64F95104">
      <w:pPr>
        <w:pStyle w:val="6"/>
        <w:kinsoku/>
        <w:topLinePunct/>
        <w:autoSpaceDE/>
        <w:autoSpaceDN/>
        <w:adjustRightInd/>
        <w:snapToGrid/>
        <w:spacing w:line="570" w:lineRule="exact"/>
        <w:ind w:left="2540" w:leftChars="304" w:hanging="1902" w:hangingChars="592"/>
        <w:outlineLvl w:val="4"/>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项目名称</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 xml:space="preserve">  广东省遂溪县</w:t>
      </w:r>
      <w:r>
        <w:rPr>
          <w:rFonts w:hint="eastAsia" w:ascii="Times New Roman" w:hAnsi="Times New Roman" w:eastAsia="仿宋_GB2312" w:cs="Times New Roman"/>
          <w:color w:val="auto"/>
          <w:sz w:val="32"/>
          <w:szCs w:val="32"/>
          <w:lang w:val="en-US" w:eastAsia="zh-CN"/>
        </w:rPr>
        <w:t>港门</w:t>
      </w:r>
      <w:r>
        <w:rPr>
          <w:rFonts w:hint="eastAsia" w:ascii="Times New Roman" w:hAnsi="Times New Roman" w:eastAsia="仿宋_GB2312" w:cs="Times New Roman"/>
          <w:color w:val="auto"/>
          <w:sz w:val="32"/>
          <w:szCs w:val="32"/>
          <w:lang w:eastAsia="zh-CN"/>
        </w:rPr>
        <w:t>镇</w:t>
      </w:r>
      <w:r>
        <w:rPr>
          <w:rFonts w:hint="eastAsia" w:ascii="Times New Roman" w:hAnsi="Times New Roman" w:eastAsia="仿宋_GB2312" w:cs="Times New Roman"/>
          <w:color w:val="auto"/>
          <w:sz w:val="32"/>
          <w:szCs w:val="32"/>
          <w:lang w:val="en-US" w:eastAsia="zh-CN"/>
        </w:rPr>
        <w:t>北地村</w:t>
      </w:r>
      <w:r>
        <w:rPr>
          <w:rFonts w:hint="eastAsia" w:ascii="Times New Roman" w:hAnsi="Times New Roman" w:eastAsia="仿宋_GB2312" w:cs="Times New Roman"/>
          <w:color w:val="auto"/>
          <w:sz w:val="32"/>
          <w:szCs w:val="32"/>
          <w:lang w:eastAsia="zh-CN"/>
        </w:rPr>
        <w:t>矿区</w:t>
      </w:r>
      <w:r>
        <w:rPr>
          <w:rFonts w:hint="eastAsia" w:ascii="Times New Roman" w:hAnsi="Times New Roman" w:eastAsia="仿宋_GB2312" w:cs="Times New Roman"/>
          <w:color w:val="auto"/>
          <w:sz w:val="32"/>
          <w:szCs w:val="32"/>
          <w:lang w:val="en-US" w:eastAsia="zh-CN"/>
        </w:rPr>
        <w:t>建筑</w:t>
      </w:r>
      <w:r>
        <w:rPr>
          <w:rFonts w:hint="eastAsia" w:ascii="Times New Roman" w:hAnsi="Times New Roman" w:eastAsia="仿宋_GB2312" w:cs="Times New Roman"/>
          <w:color w:val="auto"/>
          <w:sz w:val="32"/>
          <w:szCs w:val="32"/>
          <w:lang w:eastAsia="zh-CN"/>
        </w:rPr>
        <w:t>用砂矿采矿权</w:t>
      </w:r>
      <w:r>
        <w:rPr>
          <w:rFonts w:ascii="Times New Roman" w:hAnsi="Times New Roman" w:eastAsia="仿宋_GB2312" w:cs="Times New Roman"/>
          <w:color w:val="auto"/>
          <w:sz w:val="32"/>
          <w:szCs w:val="32"/>
          <w:lang w:eastAsia="zh-CN"/>
        </w:rPr>
        <w:t>出让</w:t>
      </w:r>
    </w:p>
    <w:p w14:paraId="0BC11826">
      <w:pPr>
        <w:pStyle w:val="6"/>
        <w:kinsoku/>
        <w:topLinePunct/>
        <w:autoSpaceDE/>
        <w:autoSpaceDN/>
        <w:adjustRightInd/>
        <w:snapToGrid/>
        <w:spacing w:line="570" w:lineRule="exact"/>
        <w:ind w:firstLine="643"/>
        <w:outlineLvl w:val="4"/>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出</w:t>
      </w:r>
      <w:r>
        <w:rPr>
          <w:rFonts w:hint="eastAsia" w:ascii="Times New Roman" w:hAnsi="Times New Roman" w:eastAsia="仿宋_GB2312" w:cs="Times New Roman"/>
          <w:b/>
          <w:bCs/>
          <w:color w:val="auto"/>
          <w:sz w:val="32"/>
          <w:szCs w:val="32"/>
          <w:lang w:eastAsia="zh-CN"/>
        </w:rPr>
        <w:t xml:space="preserve"> </w:t>
      </w:r>
      <w:r>
        <w:rPr>
          <w:rFonts w:ascii="Times New Roman" w:hAnsi="Times New Roman" w:eastAsia="仿宋_GB2312" w:cs="Times New Roman"/>
          <w:b/>
          <w:bCs/>
          <w:color w:val="auto"/>
          <w:sz w:val="32"/>
          <w:szCs w:val="32"/>
          <w:lang w:eastAsia="zh-CN"/>
        </w:rPr>
        <w:t>让</w:t>
      </w:r>
      <w:r>
        <w:rPr>
          <w:rFonts w:hint="eastAsia" w:ascii="Times New Roman" w:hAnsi="Times New Roman" w:eastAsia="仿宋_GB2312" w:cs="Times New Roman"/>
          <w:b/>
          <w:bCs/>
          <w:color w:val="auto"/>
          <w:sz w:val="32"/>
          <w:szCs w:val="32"/>
          <w:lang w:eastAsia="zh-CN"/>
        </w:rPr>
        <w:t xml:space="preserve"> </w:t>
      </w:r>
      <w:r>
        <w:rPr>
          <w:rFonts w:ascii="Times New Roman" w:hAnsi="Times New Roman" w:eastAsia="仿宋_GB2312" w:cs="Times New Roman"/>
          <w:b/>
          <w:bCs/>
          <w:color w:val="auto"/>
          <w:sz w:val="32"/>
          <w:szCs w:val="32"/>
          <w:lang w:eastAsia="zh-CN"/>
        </w:rPr>
        <w:t>人</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 xml:space="preserve"> 遂溪县自然资源局</w:t>
      </w:r>
    </w:p>
    <w:p w14:paraId="526BB969">
      <w:pPr>
        <w:pStyle w:val="6"/>
        <w:kinsoku/>
        <w:topLinePunct/>
        <w:autoSpaceDE/>
        <w:autoSpaceDN/>
        <w:adjustRightInd/>
        <w:snapToGrid/>
        <w:spacing w:line="570" w:lineRule="exact"/>
        <w:ind w:firstLine="643"/>
        <w:outlineLvl w:val="4"/>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交易平台</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 xml:space="preserve">  </w:t>
      </w:r>
      <w:r>
        <w:rPr>
          <w:rFonts w:ascii="Times New Roman" w:hAnsi="Times New Roman" w:eastAsia="仿宋_GB2312" w:cs="Times New Roman"/>
          <w:color w:val="auto"/>
          <w:sz w:val="32"/>
          <w:szCs w:val="32"/>
          <w:lang w:eastAsia="zh-CN"/>
        </w:rPr>
        <w:t>广东省湛江市公共资源交易中心</w:t>
      </w:r>
    </w:p>
    <w:p w14:paraId="12C8E092">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6E7CBF04">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0DD9F0FC">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7D705818">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29DC8C68">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1D3965EA">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31972528">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39EB8306">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561BE5F8">
      <w:pPr>
        <w:kinsoku/>
        <w:topLinePunct/>
        <w:autoSpaceDE/>
        <w:autoSpaceDN/>
        <w:adjustRightInd/>
        <w:snapToGrid/>
        <w:spacing w:line="570" w:lineRule="exact"/>
        <w:ind w:firstLine="643"/>
        <w:rPr>
          <w:rFonts w:ascii="Times New Roman" w:hAnsi="Times New Roman" w:eastAsia="仿宋_GB2312" w:cs="Times New Roman"/>
          <w:color w:val="auto"/>
          <w:sz w:val="32"/>
          <w:szCs w:val="32"/>
          <w:lang w:eastAsia="zh-CN"/>
        </w:rPr>
      </w:pPr>
    </w:p>
    <w:p w14:paraId="7E27FA7B">
      <w:pPr>
        <w:kinsoku/>
        <w:topLinePunct/>
        <w:autoSpaceDE/>
        <w:autoSpaceDN/>
        <w:adjustRightInd/>
        <w:snapToGrid/>
        <w:spacing w:line="570" w:lineRule="exact"/>
        <w:jc w:val="center"/>
        <w:outlineLvl w:val="4"/>
        <w:rPr>
          <w:rFonts w:ascii="Times New Roman" w:hAnsi="Times New Roman" w:eastAsia="仿宋_GB2312" w:cs="Times New Roman"/>
          <w:color w:val="auto"/>
          <w:sz w:val="32"/>
          <w:szCs w:val="32"/>
          <w:lang w:eastAsia="zh-CN"/>
        </w:rPr>
      </w:pPr>
    </w:p>
    <w:p w14:paraId="3D9AD285">
      <w:pPr>
        <w:kinsoku/>
        <w:topLinePunct/>
        <w:autoSpaceDE/>
        <w:autoSpaceDN/>
        <w:adjustRightInd/>
        <w:snapToGrid/>
        <w:spacing w:line="570" w:lineRule="exact"/>
        <w:jc w:val="center"/>
        <w:outlineLvl w:val="4"/>
        <w:rPr>
          <w:rFonts w:ascii="Times New Roman" w:hAnsi="Times New Roman" w:eastAsia="仿宋_GB2312" w:cs="Times New Roman"/>
          <w:color w:val="auto"/>
          <w:sz w:val="32"/>
          <w:szCs w:val="32"/>
          <w:lang w:eastAsia="zh-CN"/>
        </w:rPr>
      </w:pPr>
    </w:p>
    <w:p w14:paraId="37C9064C">
      <w:pPr>
        <w:kinsoku/>
        <w:topLinePunct/>
        <w:autoSpaceDE/>
        <w:autoSpaceDN/>
        <w:adjustRightInd/>
        <w:snapToGrid/>
        <w:spacing w:line="570" w:lineRule="exact"/>
        <w:jc w:val="center"/>
        <w:outlineLvl w:val="4"/>
        <w:rPr>
          <w:rFonts w:ascii="Times New Roman" w:hAnsi="Times New Roman" w:eastAsia="仿宋_GB2312" w:cs="Times New Roman"/>
          <w:color w:val="auto"/>
          <w:sz w:val="32"/>
          <w:szCs w:val="32"/>
          <w:lang w:eastAsia="zh-CN"/>
        </w:rPr>
        <w:sectPr>
          <w:footerReference r:id="rId3" w:type="default"/>
          <w:pgSz w:w="11906" w:h="16838"/>
          <w:pgMar w:top="1460" w:right="1283" w:bottom="1317" w:left="1747" w:header="0" w:footer="1038" w:gutter="0"/>
          <w:pgNumType w:fmt="numberInDash"/>
          <w:cols w:space="720" w:num="1"/>
        </w:sect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日</w:t>
      </w:r>
    </w:p>
    <w:p w14:paraId="05B0FA0E">
      <w:pPr>
        <w:numPr>
          <w:ilvl w:val="0"/>
          <w:numId w:val="1"/>
        </w:numPr>
        <w:kinsoku/>
        <w:topLinePunct/>
        <w:autoSpaceDE/>
        <w:autoSpaceDN/>
        <w:adjustRightInd/>
        <w:snapToGrid/>
        <w:spacing w:line="570" w:lineRule="exact"/>
        <w:ind w:firstLine="633" w:firstLineChars="198"/>
        <w:jc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竞买须知</w:t>
      </w:r>
    </w:p>
    <w:p w14:paraId="4B574C3C">
      <w:pPr>
        <w:pStyle w:val="4"/>
        <w:keepNext w:val="0"/>
        <w:keepLines w:val="0"/>
        <w:kinsoku/>
        <w:topLinePunct/>
        <w:autoSpaceDE/>
        <w:autoSpaceDN/>
        <w:adjustRightInd/>
        <w:snapToGrid/>
        <w:spacing w:line="570" w:lineRule="exact"/>
        <w:ind w:firstLine="723"/>
        <w:rPr>
          <w:rFonts w:ascii="Times New Roman" w:hAnsi="Times New Roman"/>
          <w:color w:val="auto"/>
        </w:rPr>
      </w:pPr>
    </w:p>
    <w:p w14:paraId="27045C99">
      <w:pPr>
        <w:widowControl w:val="0"/>
        <w:numPr>
          <w:ilvl w:val="0"/>
          <w:numId w:val="2"/>
        </w:numPr>
        <w:kinsoku/>
        <w:topLinePunct/>
        <w:autoSpaceDE/>
        <w:autoSpaceDN/>
        <w:adjustRightInd/>
        <w:snapToGrid/>
        <w:spacing w:line="570" w:lineRule="exact"/>
        <w:ind w:firstLine="640"/>
        <w:outlineLvl w:val="1"/>
        <w:rPr>
          <w:rFonts w:ascii="Times New Roman" w:hAnsi="Times New Roman" w:eastAsia="黑体" w:cs="Times New Roman"/>
          <w:bCs/>
          <w:color w:val="auto"/>
          <w:sz w:val="32"/>
          <w:szCs w:val="32"/>
        </w:rPr>
      </w:pPr>
      <w:r>
        <w:rPr>
          <w:rFonts w:ascii="Times New Roman" w:hAnsi="黑体" w:eastAsia="黑体" w:cs="Times New Roman"/>
          <w:bCs/>
          <w:color w:val="auto"/>
          <w:sz w:val="32"/>
          <w:szCs w:val="32"/>
        </w:rPr>
        <w:t>关于出让文件</w:t>
      </w:r>
    </w:p>
    <w:p w14:paraId="1B36C28F">
      <w:pPr>
        <w:widowControl w:val="0"/>
        <w:numPr>
          <w:ilvl w:val="0"/>
          <w:numId w:val="3"/>
        </w:numPr>
        <w:kinsoku/>
        <w:topLinePunct/>
        <w:autoSpaceDE/>
        <w:autoSpaceDN/>
        <w:adjustRightInd/>
        <w:snapToGrid/>
        <w:spacing w:line="570" w:lineRule="exact"/>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w:t>
      </w:r>
      <w:r>
        <w:rPr>
          <w:rFonts w:ascii="Times New Roman" w:hAnsi="Times New Roman" w:eastAsia="仿宋_GB2312" w:cs="Times New Roman"/>
          <w:bCs/>
          <w:color w:val="auto"/>
          <w:sz w:val="32"/>
          <w:szCs w:val="32"/>
          <w:lang w:eastAsia="zh-CN"/>
        </w:rPr>
        <w:t>出让文件的解释、澄清</w:t>
      </w:r>
    </w:p>
    <w:p w14:paraId="20CF2FE1">
      <w:pPr>
        <w:widowControl w:val="0"/>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 xml:space="preserve">    1. </w:t>
      </w:r>
      <w:r>
        <w:rPr>
          <w:rFonts w:ascii="Times New Roman" w:hAnsi="仿宋_GB2312" w:eastAsia="仿宋_GB2312" w:cs="Times New Roman"/>
          <w:bCs/>
          <w:color w:val="auto"/>
          <w:sz w:val="32"/>
          <w:szCs w:val="32"/>
          <w:lang w:eastAsia="zh-CN"/>
        </w:rPr>
        <w:t>竞买人获取出让文件后，应仔细检查出让文件的所有内容，如有问题应在获得出让文件</w:t>
      </w:r>
      <w:r>
        <w:rPr>
          <w:rFonts w:ascii="Times New Roman" w:hAnsi="Times New Roman" w:eastAsia="仿宋_GB2312" w:cs="Times New Roman"/>
          <w:bCs/>
          <w:color w:val="auto"/>
          <w:sz w:val="32"/>
          <w:szCs w:val="32"/>
          <w:lang w:eastAsia="zh-CN"/>
        </w:rPr>
        <w:t>3</w:t>
      </w:r>
      <w:r>
        <w:rPr>
          <w:rFonts w:ascii="Times New Roman" w:hAnsi="仿宋_GB2312" w:eastAsia="仿宋_GB2312" w:cs="Times New Roman"/>
          <w:bCs/>
          <w:color w:val="auto"/>
          <w:sz w:val="32"/>
          <w:szCs w:val="32"/>
          <w:lang w:eastAsia="zh-CN"/>
        </w:rPr>
        <w:t>个工作日内</w:t>
      </w:r>
      <w:r>
        <w:rPr>
          <w:rFonts w:hint="eastAsia" w:ascii="Times New Roman" w:hAnsi="仿宋_GB2312" w:eastAsia="仿宋_GB2312" w:cs="Times New Roman"/>
          <w:bCs/>
          <w:color w:val="auto"/>
          <w:sz w:val="32"/>
          <w:szCs w:val="32"/>
          <w:lang w:eastAsia="zh-CN"/>
        </w:rPr>
        <w:t>、</w:t>
      </w:r>
      <w:r>
        <w:rPr>
          <w:rFonts w:ascii="Times New Roman" w:hAnsi="仿宋_GB2312" w:eastAsia="仿宋_GB2312" w:cs="Times New Roman"/>
          <w:bCs/>
          <w:color w:val="auto"/>
          <w:sz w:val="32"/>
          <w:szCs w:val="32"/>
          <w:lang w:eastAsia="zh-CN"/>
        </w:rPr>
        <w:t>出让公告截止时间</w:t>
      </w:r>
      <w:r>
        <w:rPr>
          <w:rFonts w:ascii="Times New Roman" w:hAnsi="Times New Roman" w:eastAsia="仿宋_GB2312" w:cs="Times New Roman"/>
          <w:bCs/>
          <w:color w:val="auto"/>
          <w:sz w:val="32"/>
          <w:szCs w:val="32"/>
          <w:lang w:eastAsia="zh-CN"/>
        </w:rPr>
        <w:t>5</w:t>
      </w:r>
      <w:r>
        <w:rPr>
          <w:rFonts w:ascii="Times New Roman" w:hAnsi="仿宋_GB2312" w:eastAsia="仿宋_GB2312" w:cs="Times New Roman"/>
          <w:bCs/>
          <w:color w:val="auto"/>
          <w:sz w:val="32"/>
          <w:szCs w:val="32"/>
          <w:lang w:eastAsia="zh-CN"/>
        </w:rPr>
        <w:t>个工作日前书面告知</w:t>
      </w:r>
      <w:r>
        <w:rPr>
          <w:rFonts w:ascii="Times New Roman" w:hAnsi="Times New Roman" w:eastAsia="仿宋_GB2312" w:cs="Times New Roman"/>
          <w:color w:val="auto"/>
          <w:kern w:val="10"/>
          <w:sz w:val="32"/>
          <w:szCs w:val="32"/>
          <w:lang w:eastAsia="zh-CN"/>
        </w:rPr>
        <w:t>广东省湛江市公共资源交易中心</w:t>
      </w:r>
      <w:r>
        <w:rPr>
          <w:rFonts w:hint="eastAsia" w:ascii="Times New Roman" w:hAnsi="仿宋_GB2312" w:eastAsia="仿宋_GB2312" w:cs="Times New Roman"/>
          <w:bCs/>
          <w:color w:val="auto"/>
          <w:sz w:val="32"/>
          <w:szCs w:val="32"/>
          <w:lang w:eastAsia="zh-CN"/>
        </w:rPr>
        <w:t>或提出澄清要求</w:t>
      </w:r>
      <w:r>
        <w:rPr>
          <w:rFonts w:ascii="Times New Roman" w:hAnsi="仿宋_GB2312" w:eastAsia="仿宋_GB2312" w:cs="Times New Roman"/>
          <w:bCs/>
          <w:color w:val="auto"/>
          <w:sz w:val="32"/>
          <w:szCs w:val="32"/>
          <w:lang w:eastAsia="zh-CN"/>
        </w:rPr>
        <w:t>，否则由此引起的损失自行承担。竞买人应认真阅读出让文件中所有的事项、格式、条款和规范要求等，若意向竞买人未按要求办理有关事项，其风险自行承担。</w:t>
      </w:r>
    </w:p>
    <w:p w14:paraId="36CA87A1">
      <w:pPr>
        <w:widowControl w:val="0"/>
        <w:kinsoku/>
        <w:topLinePunct/>
        <w:autoSpaceDE/>
        <w:autoSpaceDN/>
        <w:adjustRightInd/>
        <w:snapToGrid/>
        <w:spacing w:line="570" w:lineRule="exact"/>
        <w:ind w:firstLine="643"/>
        <w:jc w:val="both"/>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 xml:space="preserve">2. </w:t>
      </w:r>
      <w:r>
        <w:rPr>
          <w:rFonts w:ascii="Times New Roman" w:hAnsi="仿宋_GB2312" w:eastAsia="仿宋_GB2312" w:cs="Times New Roman"/>
          <w:bCs/>
          <w:color w:val="auto"/>
          <w:sz w:val="32"/>
          <w:szCs w:val="32"/>
          <w:lang w:eastAsia="zh-CN"/>
        </w:rPr>
        <w:t>根据竞买人的要求</w:t>
      </w:r>
      <w:r>
        <w:rPr>
          <w:rFonts w:hint="eastAsia" w:ascii="Times New Roman" w:hAnsi="仿宋_GB2312" w:eastAsia="仿宋_GB2312" w:cs="Times New Roman"/>
          <w:bCs/>
          <w:color w:val="auto"/>
          <w:sz w:val="32"/>
          <w:szCs w:val="32"/>
          <w:lang w:eastAsia="zh-CN"/>
        </w:rPr>
        <w:t>，</w:t>
      </w:r>
      <w:r>
        <w:rPr>
          <w:rFonts w:ascii="Times New Roman" w:hAnsi="Times New Roman" w:eastAsia="仿宋_GB2312" w:cs="Times New Roman"/>
          <w:color w:val="auto"/>
          <w:kern w:val="10"/>
          <w:sz w:val="32"/>
          <w:szCs w:val="32"/>
          <w:lang w:eastAsia="zh-CN"/>
        </w:rPr>
        <w:t>广东省湛江市公共资源交易中心</w:t>
      </w:r>
      <w:r>
        <w:rPr>
          <w:rFonts w:ascii="Times New Roman" w:hAnsi="仿宋_GB2312" w:eastAsia="仿宋_GB2312" w:cs="Times New Roman"/>
          <w:bCs/>
          <w:color w:val="auto"/>
          <w:sz w:val="32"/>
          <w:szCs w:val="32"/>
          <w:lang w:eastAsia="zh-CN"/>
        </w:rPr>
        <w:t>将于出让公告截止时间</w:t>
      </w:r>
      <w:r>
        <w:rPr>
          <w:rFonts w:ascii="Times New Roman" w:hAnsi="Times New Roman" w:eastAsia="仿宋_GB2312" w:cs="Times New Roman"/>
          <w:bCs/>
          <w:color w:val="auto"/>
          <w:sz w:val="32"/>
          <w:szCs w:val="32"/>
          <w:lang w:eastAsia="zh-CN"/>
        </w:rPr>
        <w:t>3</w:t>
      </w:r>
      <w:r>
        <w:rPr>
          <w:rFonts w:ascii="Times New Roman" w:hAnsi="仿宋_GB2312" w:eastAsia="仿宋_GB2312" w:cs="Times New Roman"/>
          <w:bCs/>
          <w:color w:val="auto"/>
          <w:sz w:val="32"/>
          <w:szCs w:val="32"/>
          <w:lang w:eastAsia="zh-CN"/>
        </w:rPr>
        <w:t>个工作日</w:t>
      </w:r>
      <w:r>
        <w:rPr>
          <w:rFonts w:hint="eastAsia" w:ascii="Times New Roman" w:hAnsi="仿宋_GB2312" w:eastAsia="仿宋_GB2312" w:cs="Times New Roman"/>
          <w:bCs/>
          <w:color w:val="auto"/>
          <w:sz w:val="32"/>
          <w:szCs w:val="32"/>
          <w:lang w:eastAsia="zh-CN"/>
        </w:rPr>
        <w:t>前</w:t>
      </w:r>
      <w:r>
        <w:rPr>
          <w:rFonts w:ascii="Times New Roman" w:hAnsi="仿宋_GB2312" w:eastAsia="仿宋_GB2312" w:cs="Times New Roman"/>
          <w:bCs/>
          <w:color w:val="auto"/>
          <w:sz w:val="32"/>
          <w:szCs w:val="32"/>
          <w:lang w:eastAsia="zh-CN"/>
        </w:rPr>
        <w:t>予以答复</w:t>
      </w:r>
      <w:r>
        <w:rPr>
          <w:rFonts w:hint="eastAsia" w:ascii="Times New Roman" w:hAnsi="仿宋_GB2312" w:eastAsia="仿宋_GB2312" w:cs="Times New Roman"/>
          <w:bCs/>
          <w:color w:val="auto"/>
          <w:sz w:val="32"/>
          <w:szCs w:val="32"/>
          <w:lang w:eastAsia="zh-CN"/>
        </w:rPr>
        <w:t>或</w:t>
      </w:r>
      <w:r>
        <w:rPr>
          <w:rFonts w:ascii="Times New Roman" w:hAnsi="仿宋_GB2312" w:eastAsia="仿宋_GB2312" w:cs="Times New Roman"/>
          <w:bCs/>
          <w:color w:val="auto"/>
          <w:sz w:val="32"/>
          <w:szCs w:val="32"/>
          <w:lang w:eastAsia="zh-CN"/>
        </w:rPr>
        <w:t>对出让文件</w:t>
      </w:r>
      <w:r>
        <w:rPr>
          <w:rFonts w:hint="eastAsia" w:ascii="Times New Roman" w:hAnsi="仿宋_GB2312" w:eastAsia="仿宋_GB2312" w:cs="Times New Roman"/>
          <w:bCs/>
          <w:color w:val="auto"/>
          <w:sz w:val="32"/>
          <w:szCs w:val="32"/>
          <w:lang w:eastAsia="zh-CN"/>
        </w:rPr>
        <w:t>作</w:t>
      </w:r>
      <w:r>
        <w:rPr>
          <w:rFonts w:ascii="Times New Roman" w:hAnsi="仿宋_GB2312" w:eastAsia="仿宋_GB2312" w:cs="Times New Roman"/>
          <w:bCs/>
          <w:color w:val="auto"/>
          <w:sz w:val="32"/>
          <w:szCs w:val="32"/>
          <w:lang w:eastAsia="zh-CN"/>
        </w:rPr>
        <w:t>出澄清。</w:t>
      </w:r>
    </w:p>
    <w:p w14:paraId="6F35BCDA">
      <w:pPr>
        <w:keepNext w:val="0"/>
        <w:keepLines w:val="0"/>
        <w:pageBreakBefore w:val="0"/>
        <w:widowControl w:val="0"/>
        <w:numPr>
          <w:ilvl w:val="0"/>
          <w:numId w:val="3"/>
        </w:numPr>
        <w:kinsoku/>
        <w:wordWrap/>
        <w:overflowPunct/>
        <w:topLinePunct/>
        <w:autoSpaceDE/>
        <w:autoSpaceDN/>
        <w:bidi w:val="0"/>
        <w:adjustRightInd/>
        <w:snapToGrid/>
        <w:spacing w:line="580" w:lineRule="exact"/>
        <w:jc w:val="both"/>
        <w:textAlignment w:val="baseline"/>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出让文件的修改、补充</w:t>
      </w:r>
    </w:p>
    <w:p w14:paraId="4CDCA406">
      <w:pPr>
        <w:keepNext w:val="0"/>
        <w:keepLines w:val="0"/>
        <w:pageBreakBefore w:val="0"/>
        <w:widowControl w:val="0"/>
        <w:kinsoku/>
        <w:wordWrap/>
        <w:overflowPunct/>
        <w:topLinePunct/>
        <w:autoSpaceDE/>
        <w:autoSpaceDN/>
        <w:bidi w:val="0"/>
        <w:adjustRightInd/>
        <w:snapToGrid/>
        <w:spacing w:line="580" w:lineRule="exact"/>
        <w:jc w:val="both"/>
        <w:textAlignment w:val="baseline"/>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 xml:space="preserve">    1. </w:t>
      </w:r>
      <w:r>
        <w:rPr>
          <w:rFonts w:ascii="Times New Roman" w:hAnsi="Times New Roman" w:eastAsia="仿宋_GB2312" w:cs="Times New Roman"/>
          <w:color w:val="auto"/>
          <w:kern w:val="10"/>
          <w:sz w:val="32"/>
          <w:szCs w:val="32"/>
          <w:lang w:eastAsia="zh-CN"/>
        </w:rPr>
        <w:t>广东省湛江市公共资源交易中心</w:t>
      </w:r>
      <w:r>
        <w:rPr>
          <w:rFonts w:ascii="Times New Roman" w:hAnsi="仿宋_GB2312" w:eastAsia="仿宋_GB2312" w:cs="Times New Roman"/>
          <w:bCs/>
          <w:color w:val="auto"/>
          <w:sz w:val="32"/>
          <w:szCs w:val="32"/>
          <w:lang w:eastAsia="zh-CN"/>
        </w:rPr>
        <w:t>根据需要主动对出让文件进行必要的修改、补充，</w:t>
      </w:r>
      <w:r>
        <w:rPr>
          <w:rFonts w:ascii="Times New Roman" w:hAnsi="Times New Roman" w:eastAsia="仿宋_GB2312" w:cs="Times New Roman"/>
          <w:color w:val="auto"/>
          <w:kern w:val="10"/>
          <w:sz w:val="32"/>
          <w:szCs w:val="32"/>
          <w:lang w:eastAsia="zh-CN"/>
        </w:rPr>
        <w:t>广东省湛江市公共资源交易中心</w:t>
      </w:r>
      <w:r>
        <w:rPr>
          <w:rFonts w:ascii="Times New Roman" w:hAnsi="仿宋_GB2312" w:eastAsia="仿宋_GB2312" w:cs="Times New Roman"/>
          <w:bCs/>
          <w:color w:val="auto"/>
          <w:sz w:val="32"/>
          <w:szCs w:val="32"/>
          <w:lang w:eastAsia="zh-CN"/>
        </w:rPr>
        <w:t>将于出让公告截止时间前</w:t>
      </w:r>
      <w:r>
        <w:rPr>
          <w:rFonts w:ascii="Times New Roman" w:hAnsi="Times New Roman" w:eastAsia="仿宋_GB2312" w:cs="Times New Roman"/>
          <w:bCs/>
          <w:color w:val="auto"/>
          <w:sz w:val="32"/>
          <w:szCs w:val="32"/>
          <w:lang w:eastAsia="zh-CN"/>
        </w:rPr>
        <w:t>3</w:t>
      </w:r>
      <w:r>
        <w:rPr>
          <w:rFonts w:ascii="Times New Roman" w:hAnsi="仿宋_GB2312" w:eastAsia="仿宋_GB2312" w:cs="Times New Roman"/>
          <w:bCs/>
          <w:color w:val="auto"/>
          <w:sz w:val="32"/>
          <w:szCs w:val="32"/>
          <w:lang w:eastAsia="zh-CN"/>
        </w:rPr>
        <w:t>个工作日</w:t>
      </w:r>
      <w:r>
        <w:rPr>
          <w:rFonts w:hint="eastAsia" w:ascii="Times New Roman" w:hAnsi="仿宋_GB2312" w:eastAsia="仿宋_GB2312" w:cs="Times New Roman"/>
          <w:bCs/>
          <w:color w:val="auto"/>
          <w:sz w:val="32"/>
          <w:szCs w:val="32"/>
          <w:lang w:eastAsia="zh-CN"/>
        </w:rPr>
        <w:t>前</w:t>
      </w:r>
      <w:r>
        <w:rPr>
          <w:rFonts w:ascii="Times New Roman" w:hAnsi="仿宋_GB2312" w:eastAsia="仿宋_GB2312" w:cs="Times New Roman"/>
          <w:bCs/>
          <w:color w:val="auto"/>
          <w:sz w:val="32"/>
          <w:szCs w:val="32"/>
          <w:lang w:eastAsia="zh-CN"/>
        </w:rPr>
        <w:t>将修改补充内容以公告形式在自然资源部网站、</w:t>
      </w:r>
      <w:r>
        <w:rPr>
          <w:rFonts w:hint="eastAsia" w:ascii="Times New Roman" w:hAnsi="仿宋_GB2312" w:eastAsia="仿宋_GB2312" w:cs="Times New Roman"/>
          <w:bCs/>
          <w:color w:val="auto"/>
          <w:sz w:val="32"/>
          <w:szCs w:val="32"/>
          <w:lang w:eastAsia="zh-CN"/>
        </w:rPr>
        <w:t>遂溪县</w:t>
      </w:r>
      <w:r>
        <w:rPr>
          <w:rFonts w:ascii="Times New Roman" w:hAnsi="仿宋_GB2312" w:eastAsia="仿宋_GB2312" w:cs="Times New Roman"/>
          <w:bCs/>
          <w:color w:val="auto"/>
          <w:sz w:val="32"/>
          <w:szCs w:val="32"/>
          <w:lang w:eastAsia="zh-CN"/>
        </w:rPr>
        <w:t>自然资源局门户网站、广东省公共资源交易中心平台（湛江市）网站发布。</w:t>
      </w:r>
    </w:p>
    <w:p w14:paraId="29ED875E">
      <w:pPr>
        <w:keepNext w:val="0"/>
        <w:keepLines w:val="0"/>
        <w:pageBreakBefore w:val="0"/>
        <w:widowControl w:val="0"/>
        <w:kinsoku/>
        <w:wordWrap/>
        <w:overflowPunct/>
        <w:topLinePunct/>
        <w:autoSpaceDE/>
        <w:autoSpaceDN/>
        <w:bidi w:val="0"/>
        <w:adjustRightInd/>
        <w:snapToGrid/>
        <w:spacing w:line="580" w:lineRule="exact"/>
        <w:jc w:val="both"/>
        <w:textAlignment w:val="baseline"/>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 xml:space="preserve">    2. </w:t>
      </w:r>
      <w:r>
        <w:rPr>
          <w:rFonts w:ascii="Times New Roman" w:hAnsi="仿宋_GB2312" w:eastAsia="仿宋_GB2312" w:cs="Times New Roman"/>
          <w:bCs/>
          <w:color w:val="auto"/>
          <w:sz w:val="32"/>
          <w:szCs w:val="32"/>
          <w:lang w:eastAsia="zh-CN"/>
        </w:rPr>
        <w:t>出让文件的修改、补充内容一旦公告，将作为出让文件的组成部分。当出让文件的修改、补充等在同一内容的表述上不一致时，以最后发出的公告为准。</w:t>
      </w:r>
    </w:p>
    <w:p w14:paraId="1EAA3883">
      <w:pPr>
        <w:keepNext w:val="0"/>
        <w:keepLines w:val="0"/>
        <w:pageBreakBefore w:val="0"/>
        <w:widowControl w:val="0"/>
        <w:numPr>
          <w:ilvl w:val="0"/>
          <w:numId w:val="3"/>
        </w:numPr>
        <w:kinsoku/>
        <w:wordWrap/>
        <w:overflowPunct/>
        <w:topLinePunct/>
        <w:autoSpaceDE/>
        <w:autoSpaceDN/>
        <w:bidi w:val="0"/>
        <w:adjustRightInd/>
        <w:snapToGrid/>
        <w:spacing w:line="580" w:lineRule="exact"/>
        <w:jc w:val="both"/>
        <w:textAlignment w:val="baseline"/>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出让文件变更的通知</w:t>
      </w:r>
    </w:p>
    <w:p w14:paraId="4D3ABA1C">
      <w:pPr>
        <w:keepNext w:val="0"/>
        <w:keepLines w:val="0"/>
        <w:pageBreakBefore w:val="0"/>
        <w:widowControl w:val="0"/>
        <w:kinsoku/>
        <w:wordWrap/>
        <w:overflowPunct/>
        <w:topLinePunct/>
        <w:autoSpaceDE/>
        <w:autoSpaceDN/>
        <w:bidi w:val="0"/>
        <w:adjustRightInd/>
        <w:snapToGrid/>
        <w:spacing w:line="580" w:lineRule="exact"/>
        <w:ind w:firstLine="633" w:firstLineChars="198"/>
        <w:jc w:val="both"/>
        <w:textAlignment w:val="baseline"/>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本次出让</w:t>
      </w:r>
      <w:r>
        <w:rPr>
          <w:rFonts w:hint="eastAsia" w:ascii="Times New Roman" w:hAnsi="Times New Roman" w:eastAsia="仿宋_GB2312" w:cs="Times New Roman"/>
          <w:bCs/>
          <w:color w:val="auto"/>
          <w:sz w:val="32"/>
          <w:szCs w:val="32"/>
          <w:lang w:eastAsia="zh-CN"/>
        </w:rPr>
        <w:t>的</w:t>
      </w:r>
      <w:r>
        <w:rPr>
          <w:rFonts w:ascii="Times New Roman" w:hAnsi="Times New Roman" w:eastAsia="仿宋_GB2312" w:cs="Times New Roman"/>
          <w:bCs/>
          <w:color w:val="auto"/>
          <w:sz w:val="32"/>
          <w:szCs w:val="32"/>
          <w:lang w:eastAsia="zh-CN"/>
        </w:rPr>
        <w:t>有关信息如果发生变动或变更，将在自然资源部网站、</w:t>
      </w:r>
      <w:r>
        <w:rPr>
          <w:rFonts w:hint="eastAsia" w:ascii="Times New Roman" w:hAnsi="Times New Roman" w:eastAsia="仿宋_GB2312" w:cs="Times New Roman"/>
          <w:bCs/>
          <w:color w:val="auto"/>
          <w:sz w:val="32"/>
          <w:szCs w:val="32"/>
          <w:lang w:eastAsia="zh-CN"/>
        </w:rPr>
        <w:t>遂溪县</w:t>
      </w:r>
      <w:r>
        <w:rPr>
          <w:rFonts w:ascii="Times New Roman" w:hAnsi="Times New Roman" w:eastAsia="仿宋_GB2312" w:cs="Times New Roman"/>
          <w:bCs/>
          <w:color w:val="auto"/>
          <w:sz w:val="32"/>
          <w:szCs w:val="32"/>
          <w:lang w:eastAsia="zh-CN"/>
        </w:rPr>
        <w:t>自然资源局门户网站、广东省公共资源交易中心平台（湛江市）网站发布，竞买人需密切关注。竞买人未能及时接收、知悉出让文件变动变更信息，或未按照信息变更后的要求办理有关事项的，自行承担一切后果。</w:t>
      </w:r>
    </w:p>
    <w:p w14:paraId="5B354FFC">
      <w:pPr>
        <w:keepNext w:val="0"/>
        <w:keepLines w:val="0"/>
        <w:pageBreakBefore w:val="0"/>
        <w:widowControl w:val="0"/>
        <w:numPr>
          <w:ilvl w:val="0"/>
          <w:numId w:val="2"/>
        </w:numPr>
        <w:kinsoku/>
        <w:wordWrap/>
        <w:overflowPunct/>
        <w:topLinePunct/>
        <w:autoSpaceDE/>
        <w:autoSpaceDN/>
        <w:bidi w:val="0"/>
        <w:adjustRightInd/>
        <w:snapToGrid/>
        <w:spacing w:line="560" w:lineRule="exact"/>
        <w:ind w:firstLine="640"/>
        <w:jc w:val="both"/>
        <w:textAlignment w:val="baseline"/>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关于出让合同的签订</w:t>
      </w:r>
    </w:p>
    <w:p w14:paraId="1A1FD1EE">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ascii="Times New Roman" w:hAnsi="Times New Roman" w:eastAsia="仿宋_GB2312"/>
          <w:b w:val="0"/>
          <w:bCs/>
          <w:color w:val="auto"/>
          <w:sz w:val="32"/>
          <w:szCs w:val="32"/>
          <w:lang w:eastAsia="zh-CN"/>
        </w:rPr>
      </w:pPr>
      <w:r>
        <w:rPr>
          <w:rFonts w:ascii="Times New Roman" w:hAnsi="Times New Roman" w:eastAsia="仿宋_GB2312"/>
          <w:b w:val="0"/>
          <w:bCs/>
          <w:color w:val="auto"/>
          <w:sz w:val="32"/>
          <w:szCs w:val="32"/>
          <w:lang w:eastAsia="zh-CN"/>
        </w:rPr>
        <w:t>挂牌成交结果公示期间无异议的，</w:t>
      </w:r>
      <w:r>
        <w:rPr>
          <w:rFonts w:hint="eastAsia" w:ascii="Times New Roman" w:hAnsi="Times New Roman" w:eastAsia="仿宋_GB2312"/>
          <w:b w:val="0"/>
          <w:bCs/>
          <w:color w:val="auto"/>
          <w:sz w:val="32"/>
          <w:szCs w:val="32"/>
          <w:lang w:val="en-US" w:eastAsia="zh-CN"/>
        </w:rPr>
        <w:t>采矿权</w:t>
      </w:r>
      <w:r>
        <w:rPr>
          <w:rFonts w:ascii="Times New Roman" w:hAnsi="Times New Roman" w:eastAsia="仿宋_GB2312"/>
          <w:b w:val="0"/>
          <w:bCs/>
          <w:color w:val="auto"/>
          <w:sz w:val="32"/>
          <w:szCs w:val="32"/>
          <w:lang w:eastAsia="zh-CN"/>
        </w:rPr>
        <w:t>竞得候选人成为竞得人。竞得人在</w:t>
      </w:r>
      <w:r>
        <w:rPr>
          <w:rFonts w:hint="eastAsia" w:ascii="仿宋_GB2312" w:hAnsi="仿宋_GB2312" w:eastAsia="仿宋_GB2312" w:cs="仿宋_GB2312"/>
          <w:b w:val="0"/>
          <w:bCs/>
          <w:color w:val="auto"/>
          <w:sz w:val="32"/>
          <w:szCs w:val="32"/>
          <w:lang w:eastAsia="zh-CN"/>
        </w:rPr>
        <w:t>5</w:t>
      </w:r>
      <w:r>
        <w:rPr>
          <w:rFonts w:ascii="Times New Roman" w:hAnsi="Times New Roman" w:eastAsia="仿宋_GB2312"/>
          <w:b w:val="0"/>
          <w:bCs/>
          <w:color w:val="auto"/>
          <w:sz w:val="32"/>
          <w:szCs w:val="32"/>
          <w:lang w:eastAsia="zh-CN"/>
        </w:rPr>
        <w:t>个工作日内携带企业营业执照正本和副本（彩色复印件加盖公章）、委托代理人身份证、授权委托书（加盖公章的原件）、成交确认书到</w:t>
      </w:r>
      <w:r>
        <w:rPr>
          <w:rFonts w:hint="eastAsia" w:ascii="Times New Roman" w:hAnsi="Times New Roman" w:eastAsia="仿宋_GB2312"/>
          <w:b w:val="0"/>
          <w:bCs/>
          <w:color w:val="auto"/>
          <w:sz w:val="32"/>
          <w:szCs w:val="32"/>
          <w:lang w:eastAsia="zh-CN"/>
        </w:rPr>
        <w:t>遂溪县自然资源局</w:t>
      </w:r>
      <w:r>
        <w:rPr>
          <w:rFonts w:ascii="Times New Roman" w:hAnsi="Times New Roman" w:eastAsia="仿宋_GB2312"/>
          <w:b w:val="0"/>
          <w:bCs/>
          <w:color w:val="auto"/>
          <w:sz w:val="32"/>
          <w:szCs w:val="32"/>
          <w:lang w:eastAsia="zh-CN"/>
        </w:rPr>
        <w:t>办理《采矿权出让合同》签订事宜。</w:t>
      </w:r>
    </w:p>
    <w:p w14:paraId="054CFCD6">
      <w:pPr>
        <w:keepNext w:val="0"/>
        <w:keepLines w:val="0"/>
        <w:pageBreakBefore w:val="0"/>
        <w:widowControl w:val="0"/>
        <w:numPr>
          <w:ilvl w:val="0"/>
          <w:numId w:val="2"/>
        </w:numPr>
        <w:kinsoku/>
        <w:wordWrap/>
        <w:overflowPunct/>
        <w:topLinePunct/>
        <w:autoSpaceDE/>
        <w:autoSpaceDN/>
        <w:bidi w:val="0"/>
        <w:adjustRightInd/>
        <w:snapToGrid/>
        <w:spacing w:line="560" w:lineRule="exact"/>
        <w:ind w:firstLine="640"/>
        <w:jc w:val="both"/>
        <w:textAlignment w:val="baseline"/>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关于</w:t>
      </w:r>
      <w:r>
        <w:rPr>
          <w:rFonts w:hint="eastAsia" w:ascii="Times New Roman" w:hAnsi="黑体" w:eastAsia="黑体" w:cs="Times New Roman"/>
          <w:bCs/>
          <w:color w:val="auto"/>
          <w:sz w:val="32"/>
          <w:szCs w:val="32"/>
          <w:lang w:val="en-US" w:eastAsia="zh-CN"/>
        </w:rPr>
        <w:t>采矿权</w:t>
      </w:r>
      <w:r>
        <w:rPr>
          <w:rFonts w:ascii="Times New Roman" w:hAnsi="黑体" w:eastAsia="黑体" w:cs="Times New Roman"/>
          <w:bCs/>
          <w:color w:val="auto"/>
          <w:sz w:val="32"/>
          <w:szCs w:val="32"/>
          <w:lang w:eastAsia="zh-CN"/>
        </w:rPr>
        <w:t>登记</w:t>
      </w:r>
      <w:r>
        <w:rPr>
          <w:rFonts w:hint="eastAsia" w:ascii="Times New Roman" w:hAnsi="黑体" w:eastAsia="黑体" w:cs="Times New Roman"/>
          <w:bCs/>
          <w:color w:val="auto"/>
          <w:sz w:val="32"/>
          <w:szCs w:val="32"/>
          <w:lang w:val="en-US" w:eastAsia="zh-CN"/>
        </w:rPr>
        <w:t>及采矿许可证登记</w:t>
      </w:r>
    </w:p>
    <w:p w14:paraId="1736388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baseline"/>
        <w:outlineLvl w:val="4"/>
        <w:rPr>
          <w:rFonts w:ascii="仿宋_GB2312" w:hAnsi="仿宋_GB2312" w:eastAsia="仿宋_GB2312" w:cs="仿宋_GB2312"/>
          <w:color w:val="auto"/>
          <w:kern w:val="10"/>
          <w:sz w:val="32"/>
          <w:szCs w:val="32"/>
          <w:lang w:eastAsia="zh-CN"/>
        </w:rPr>
      </w:pPr>
      <w:r>
        <w:rPr>
          <w:rFonts w:hint="eastAsia" w:ascii="仿宋_GB2312" w:hAnsi="仿宋_GB2312" w:eastAsia="仿宋_GB2312" w:cs="仿宋_GB2312"/>
          <w:sz w:val="32"/>
          <w:szCs w:val="32"/>
          <w:lang w:val="en-US" w:eastAsia="zh-CN"/>
        </w:rPr>
        <w:t>1.采矿权竞得人</w:t>
      </w:r>
      <w:r>
        <w:rPr>
          <w:rFonts w:hint="eastAsia" w:ascii="仿宋_GB2312" w:hAnsi="仿宋_GB2312" w:eastAsia="仿宋_GB2312" w:cs="仿宋_GB2312"/>
          <w:sz w:val="32"/>
          <w:szCs w:val="32"/>
        </w:rPr>
        <w:t>自取得缴款凭证之日起15个工作日内，应向</w:t>
      </w:r>
      <w:r>
        <w:rPr>
          <w:rFonts w:hint="eastAsia" w:ascii="仿宋_GB2312" w:hAnsi="仿宋_GB2312" w:eastAsia="仿宋_GB2312" w:cs="仿宋_GB2312"/>
          <w:sz w:val="32"/>
          <w:szCs w:val="32"/>
          <w:lang w:val="en-US" w:eastAsia="zh-CN"/>
        </w:rPr>
        <w:t>遂溪县资源局</w:t>
      </w:r>
      <w:r>
        <w:rPr>
          <w:rFonts w:hint="eastAsia" w:ascii="仿宋_GB2312" w:hAnsi="仿宋_GB2312" w:eastAsia="仿宋_GB2312" w:cs="仿宋_GB2312"/>
          <w:sz w:val="32"/>
          <w:szCs w:val="32"/>
        </w:rPr>
        <w:t>申请办理</w:t>
      </w:r>
      <w:r>
        <w:rPr>
          <w:rFonts w:hint="eastAsia" w:ascii="仿宋_GB2312" w:hAnsi="仿宋_GB2312" w:eastAsia="仿宋_GB2312" w:cs="仿宋_GB2312"/>
          <w:sz w:val="32"/>
          <w:szCs w:val="32"/>
          <w:lang w:val="en-US" w:eastAsia="zh-CN"/>
        </w:rPr>
        <w:t>采矿权</w:t>
      </w:r>
      <w:r>
        <w:rPr>
          <w:rFonts w:hint="eastAsia" w:ascii="仿宋_GB2312" w:hAnsi="仿宋_GB2312" w:eastAsia="仿宋_GB2312" w:cs="仿宋_GB2312"/>
          <w:sz w:val="32"/>
          <w:szCs w:val="32"/>
        </w:rPr>
        <w:t>登记。(仅用于招标/拍卖/挂牌/协议出让采矿权)</w:t>
      </w:r>
    </w:p>
    <w:p w14:paraId="1F4863FD">
      <w:pPr>
        <w:keepNext w:val="0"/>
        <w:keepLines w:val="0"/>
        <w:pageBreakBefore w:val="0"/>
        <w:wordWrap/>
        <w:overflowPunct/>
        <w:bidi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10"/>
          <w:sz w:val="32"/>
          <w:szCs w:val="32"/>
          <w:lang w:val="en-US" w:eastAsia="zh-CN"/>
        </w:rPr>
        <w:t>2.</w:t>
      </w:r>
      <w:r>
        <w:rPr>
          <w:rFonts w:hint="eastAsia" w:ascii="仿宋_GB2312" w:hAnsi="仿宋_GB2312" w:eastAsia="仿宋_GB2312" w:cs="仿宋_GB2312"/>
          <w:sz w:val="32"/>
          <w:szCs w:val="32"/>
          <w:lang w:val="en-US" w:eastAsia="zh-CN"/>
        </w:rPr>
        <w:t>采矿权竞得人一次性缴纳采矿权出让收益价款及1个“采矿权出让资产包”价款后，按有关规定和要求准备好相关材料，自《采矿权出让合同》签订之日起12个月内，</w:t>
      </w:r>
      <w:r>
        <w:rPr>
          <w:rFonts w:hint="eastAsia" w:ascii="仿宋_GB2312" w:hAnsi="仿宋_GB2312" w:eastAsia="仿宋_GB2312" w:cs="仿宋_GB2312"/>
          <w:color w:val="auto"/>
          <w:kern w:val="10"/>
          <w:sz w:val="32"/>
          <w:szCs w:val="32"/>
          <w:lang w:val="en-US" w:eastAsia="zh-CN"/>
        </w:rPr>
        <w:t>应当依据经评审备案的矿产资源储量报告</w:t>
      </w:r>
      <w:r>
        <w:rPr>
          <w:rFonts w:hint="eastAsia" w:ascii="仿宋_GB2312" w:hAnsi="仿宋_GB2312" w:eastAsia="仿宋_GB2312" w:cs="仿宋_GB2312"/>
          <w:sz w:val="32"/>
          <w:szCs w:val="32"/>
        </w:rPr>
        <w:t>编制开采方案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10"/>
          <w:sz w:val="32"/>
          <w:szCs w:val="32"/>
          <w:lang w:eastAsia="zh-CN"/>
        </w:rPr>
        <w:t>可自行编制或委托有关机构编制</w:t>
      </w:r>
      <w:r>
        <w:rPr>
          <w:rFonts w:hint="eastAsia" w:ascii="仿宋_GB2312" w:hAnsi="仿宋_GB2312" w:eastAsia="仿宋_GB2312" w:cs="仿宋_GB2312"/>
          <w:color w:val="auto"/>
          <w:sz w:val="32"/>
          <w:szCs w:val="32"/>
          <w:lang w:val="en-US" w:eastAsia="zh-CN"/>
        </w:rPr>
        <w:t>)并提交自然资源主管部门组织专家评审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（若使用原有矿产资源开发利用方案除外）</w:t>
      </w:r>
      <w:r>
        <w:rPr>
          <w:rFonts w:hint="eastAsia" w:ascii="仿宋_GB2312" w:hAnsi="仿宋_GB2312" w:eastAsia="仿宋_GB2312" w:cs="仿宋_GB2312"/>
          <w:sz w:val="32"/>
          <w:szCs w:val="32"/>
          <w:lang w:val="en-US" w:eastAsia="zh-CN"/>
        </w:rPr>
        <w:t>、编制矿区生态修复方案，申请办理采矿许可证。(仅用于招标/拍卖/挂牌/协议出让采矿权)。未取得采矿许可证，不得进行矿产资源开采作业。</w:t>
      </w:r>
    </w:p>
    <w:p w14:paraId="4764A53A">
      <w:pPr>
        <w:keepNext w:val="0"/>
        <w:keepLines w:val="0"/>
        <w:pageBreakBefore w:val="0"/>
        <w:widowControl w:val="0"/>
        <w:numPr>
          <w:ilvl w:val="0"/>
          <w:numId w:val="2"/>
        </w:numPr>
        <w:kinsoku/>
        <w:wordWrap/>
        <w:overflowPunct/>
        <w:topLinePunct/>
        <w:autoSpaceDE/>
        <w:autoSpaceDN/>
        <w:bidi w:val="0"/>
        <w:adjustRightInd/>
        <w:snapToGrid/>
        <w:spacing w:line="580" w:lineRule="exact"/>
        <w:ind w:firstLine="640"/>
        <w:jc w:val="both"/>
        <w:textAlignment w:val="baseline"/>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关于违约责任</w:t>
      </w:r>
    </w:p>
    <w:p w14:paraId="4F8893C1">
      <w:pPr>
        <w:keepNext w:val="0"/>
        <w:keepLines w:val="0"/>
        <w:pageBreakBefore w:val="0"/>
        <w:widowControl w:val="0"/>
        <w:numPr>
          <w:ilvl w:val="0"/>
          <w:numId w:val="4"/>
        </w:numPr>
        <w:kinsoku/>
        <w:wordWrap/>
        <w:overflowPunct/>
        <w:topLinePunct/>
        <w:autoSpaceDE/>
        <w:autoSpaceDN/>
        <w:bidi w:val="0"/>
        <w:adjustRightInd/>
        <w:snapToGrid/>
        <w:spacing w:line="580" w:lineRule="exact"/>
        <w:jc w:val="both"/>
        <w:textAlignment w:val="baseline"/>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竞买人有下列行为之一的，视为违约：</w:t>
      </w:r>
    </w:p>
    <w:p w14:paraId="3DE6D93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baseline"/>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1. 竞买人串通报价，损害国家利益、社会利益或他人合法权益的；</w:t>
      </w:r>
    </w:p>
    <w:p w14:paraId="115D5181">
      <w:pPr>
        <w:pStyle w:val="14"/>
        <w:keepNext w:val="0"/>
        <w:keepLines w:val="0"/>
        <w:pageBreakBefore w:val="0"/>
        <w:widowControl w:val="0"/>
        <w:numPr>
          <w:ilvl w:val="0"/>
          <w:numId w:val="5"/>
        </w:numPr>
        <w:kinsoku/>
        <w:wordWrap/>
        <w:overflowPunct/>
        <w:topLinePunct/>
        <w:autoSpaceDE/>
        <w:autoSpaceDN/>
        <w:bidi w:val="0"/>
        <w:adjustRightInd/>
        <w:snapToGrid/>
        <w:spacing w:line="240" w:lineRule="auto"/>
        <w:ind w:firstLineChars="0"/>
        <w:jc w:val="both"/>
        <w:textAlignment w:val="baseline"/>
        <w:outlineLvl w:val="4"/>
        <w:rPr>
          <w:rFonts w:ascii="Times New Roman" w:hAnsi="Times New Roman" w:eastAsia="仿宋_GB2312" w:cs="Times New Roman"/>
          <w:b/>
          <w:color w:val="auto"/>
          <w:sz w:val="32"/>
          <w:szCs w:val="32"/>
          <w:lang w:eastAsia="zh-CN"/>
        </w:rPr>
      </w:pPr>
      <w:r>
        <w:rPr>
          <w:rFonts w:ascii="Times New Roman" w:hAnsi="Times New Roman" w:eastAsia="仿宋_GB2312" w:cs="Times New Roman"/>
          <w:bCs/>
          <w:color w:val="auto"/>
          <w:sz w:val="32"/>
          <w:szCs w:val="32"/>
          <w:lang w:eastAsia="zh-CN"/>
        </w:rPr>
        <w:t>竞买人弄虚作假，骗取竞买资格的；</w:t>
      </w:r>
    </w:p>
    <w:p w14:paraId="43D3B600">
      <w:pPr>
        <w:widowControl w:val="0"/>
        <w:kinsoku/>
        <w:topLinePunct/>
        <w:autoSpaceDE/>
        <w:autoSpaceDN/>
        <w:adjustRightInd/>
        <w:snapToGrid/>
        <w:spacing w:line="570" w:lineRule="exact"/>
        <w:ind w:firstLine="640" w:firstLineChars="200"/>
        <w:jc w:val="both"/>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3. 竞得候选人逾期不签订或拒绝签订《采矿权出让成交确认书》的；</w:t>
      </w:r>
    </w:p>
    <w:p w14:paraId="0499F833">
      <w:pPr>
        <w:widowControl w:val="0"/>
        <w:kinsoku/>
        <w:topLinePunct/>
        <w:autoSpaceDE/>
        <w:autoSpaceDN/>
        <w:adjustRightInd/>
        <w:snapToGrid/>
        <w:spacing w:line="570" w:lineRule="exact"/>
        <w:ind w:firstLine="640" w:firstLineChars="200"/>
        <w:jc w:val="both"/>
        <w:outlineLvl w:val="4"/>
        <w:rPr>
          <w:rFonts w:ascii="Times New Roman" w:hAnsi="Times New Roman" w:eastAsia="仿宋_GB2312" w:cs="Times New Roman"/>
          <w:b/>
          <w:color w:val="auto"/>
          <w:sz w:val="32"/>
          <w:szCs w:val="32"/>
          <w:lang w:eastAsia="zh-CN"/>
        </w:rPr>
      </w:pPr>
      <w:r>
        <w:rPr>
          <w:rFonts w:ascii="Times New Roman" w:hAnsi="Times New Roman" w:eastAsia="仿宋_GB2312" w:cs="Times New Roman"/>
          <w:bCs/>
          <w:color w:val="auto"/>
          <w:sz w:val="32"/>
          <w:szCs w:val="32"/>
          <w:lang w:eastAsia="zh-CN"/>
        </w:rPr>
        <w:t>4. 竞得人逾期不签订或拒绝签订《采矿权出让合同》的；</w:t>
      </w:r>
    </w:p>
    <w:p w14:paraId="3BE813B9">
      <w:pPr>
        <w:widowControl w:val="0"/>
        <w:kinsoku/>
        <w:topLinePunct/>
        <w:autoSpaceDE/>
        <w:autoSpaceDN/>
        <w:adjustRightInd/>
        <w:snapToGrid/>
        <w:spacing w:line="570" w:lineRule="exact"/>
        <w:ind w:firstLine="640" w:firstLineChars="200"/>
        <w:jc w:val="both"/>
        <w:outlineLvl w:val="4"/>
        <w:rPr>
          <w:rFonts w:ascii="Times New Roman" w:hAnsi="Times New Roman" w:eastAsia="仿宋_GB2312" w:cs="Times New Roman"/>
          <w:b/>
          <w:color w:val="auto"/>
          <w:sz w:val="32"/>
          <w:szCs w:val="32"/>
          <w:lang w:eastAsia="zh-CN"/>
        </w:rPr>
      </w:pPr>
      <w:r>
        <w:rPr>
          <w:rFonts w:ascii="Times New Roman" w:hAnsi="Times New Roman" w:eastAsia="仿宋_GB2312" w:cs="Times New Roman"/>
          <w:bCs/>
          <w:color w:val="auto"/>
          <w:sz w:val="32"/>
          <w:szCs w:val="32"/>
          <w:lang w:eastAsia="zh-CN"/>
        </w:rPr>
        <w:t>5. 竞得人未按约定的时间付清约定的出让收益及“采矿权出让资产包”费用的（缴清</w:t>
      </w:r>
      <w:r>
        <w:rPr>
          <w:rFonts w:hint="eastAsia" w:ascii="Times New Roman" w:hAnsi="Times New Roman" w:eastAsia="仿宋_GB2312" w:cs="Times New Roman"/>
          <w:bCs/>
          <w:color w:val="auto"/>
          <w:sz w:val="32"/>
          <w:szCs w:val="32"/>
          <w:lang w:eastAsia="zh-CN"/>
        </w:rPr>
        <w:t>约定</w:t>
      </w:r>
      <w:r>
        <w:rPr>
          <w:rFonts w:ascii="Times New Roman" w:hAnsi="Times New Roman" w:eastAsia="仿宋_GB2312" w:cs="Times New Roman"/>
          <w:bCs/>
          <w:color w:val="auto"/>
          <w:sz w:val="32"/>
          <w:szCs w:val="32"/>
          <w:lang w:eastAsia="zh-CN"/>
        </w:rPr>
        <w:t>欠缴出让收益</w:t>
      </w:r>
      <w:r>
        <w:rPr>
          <w:rFonts w:hint="eastAsia" w:ascii="Times New Roman" w:hAnsi="Times New Roman" w:eastAsia="仿宋_GB2312" w:cs="Times New Roman"/>
          <w:bCs/>
          <w:color w:val="auto"/>
          <w:sz w:val="32"/>
          <w:szCs w:val="32"/>
          <w:lang w:eastAsia="zh-CN"/>
        </w:rPr>
        <w:t>及</w:t>
      </w:r>
      <w:r>
        <w:rPr>
          <w:rFonts w:ascii="Times New Roman" w:hAnsi="Times New Roman" w:eastAsia="仿宋_GB2312" w:cs="Times New Roman"/>
          <w:bCs/>
          <w:color w:val="auto"/>
          <w:sz w:val="32"/>
          <w:szCs w:val="32"/>
          <w:lang w:eastAsia="zh-CN"/>
        </w:rPr>
        <w:t>滞纳金的除外）;</w:t>
      </w:r>
    </w:p>
    <w:p w14:paraId="73124A7B">
      <w:pPr>
        <w:widowControl w:val="0"/>
        <w:kinsoku/>
        <w:topLinePunct/>
        <w:autoSpaceDE/>
        <w:autoSpaceDN/>
        <w:adjustRightInd/>
        <w:snapToGrid/>
        <w:spacing w:line="570" w:lineRule="exact"/>
        <w:ind w:firstLine="640" w:firstLineChars="200"/>
        <w:jc w:val="both"/>
        <w:outlineLvl w:val="4"/>
        <w:rPr>
          <w:rFonts w:ascii="Times New Roman" w:hAnsi="Times New Roman" w:eastAsia="仿宋_GB2312" w:cs="Times New Roman"/>
          <w:b/>
          <w:color w:val="auto"/>
          <w:sz w:val="32"/>
          <w:szCs w:val="32"/>
          <w:lang w:eastAsia="zh-CN"/>
        </w:rPr>
      </w:pPr>
      <w:r>
        <w:rPr>
          <w:rFonts w:ascii="Times New Roman" w:hAnsi="Times New Roman" w:eastAsia="仿宋_GB2312" w:cs="Times New Roman"/>
          <w:bCs/>
          <w:color w:val="auto"/>
          <w:sz w:val="32"/>
          <w:szCs w:val="32"/>
          <w:lang w:eastAsia="zh-CN"/>
        </w:rPr>
        <w:t>6. 向主管部门或矿业权交易机构行贿或者采取其他不正当手段竞得的；</w:t>
      </w:r>
    </w:p>
    <w:p w14:paraId="768BC6F0">
      <w:pPr>
        <w:pStyle w:val="14"/>
        <w:widowControl w:val="0"/>
        <w:numPr>
          <w:ilvl w:val="0"/>
          <w:numId w:val="6"/>
        </w:numPr>
        <w:kinsoku/>
        <w:topLinePunct/>
        <w:autoSpaceDE/>
        <w:autoSpaceDN/>
        <w:adjustRightInd/>
        <w:snapToGrid/>
        <w:spacing w:line="570" w:lineRule="exact"/>
        <w:ind w:firstLineChars="0"/>
        <w:jc w:val="both"/>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其他依法应当认定为违约行为的情形。</w:t>
      </w:r>
    </w:p>
    <w:p w14:paraId="4BCCEC66">
      <w:pPr>
        <w:widowControl w:val="0"/>
        <w:numPr>
          <w:ilvl w:val="0"/>
          <w:numId w:val="4"/>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对有上述第（一）款规定的违约行为的竞买（候选）人，按以下方式处理：</w:t>
      </w:r>
    </w:p>
    <w:p w14:paraId="29B181D0">
      <w:pPr>
        <w:widowControl w:val="0"/>
        <w:numPr>
          <w:ilvl w:val="0"/>
          <w:numId w:val="7"/>
        </w:numPr>
        <w:kinsoku/>
        <w:topLinePunct/>
        <w:autoSpaceDE/>
        <w:autoSpaceDN/>
        <w:adjustRightInd/>
        <w:snapToGrid/>
        <w:spacing w:line="570" w:lineRule="exact"/>
        <w:ind w:firstLine="640" w:firstLineChars="200"/>
        <w:jc w:val="both"/>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取消竞得人竞得资格并在自然资源部网站、</w:t>
      </w:r>
      <w:r>
        <w:rPr>
          <w:rFonts w:hint="eastAsia" w:ascii="Times New Roman" w:hAnsi="Times New Roman" w:eastAsia="仿宋_GB2312" w:cs="Times New Roman"/>
          <w:bCs/>
          <w:color w:val="auto"/>
          <w:sz w:val="32"/>
          <w:szCs w:val="32"/>
          <w:lang w:eastAsia="zh-CN"/>
        </w:rPr>
        <w:t>遂溪县</w:t>
      </w:r>
      <w:r>
        <w:rPr>
          <w:rFonts w:ascii="Times New Roman" w:hAnsi="Times New Roman" w:eastAsia="仿宋_GB2312" w:cs="Times New Roman"/>
          <w:bCs/>
          <w:color w:val="auto"/>
          <w:sz w:val="32"/>
          <w:szCs w:val="32"/>
          <w:lang w:eastAsia="zh-CN"/>
        </w:rPr>
        <w:t>自然资源局门户网站、广东省公共资源交易中心平台（湛江市）网站公告。</w:t>
      </w:r>
    </w:p>
    <w:p w14:paraId="0EBB3726">
      <w:pPr>
        <w:widowControl w:val="0"/>
        <w:numPr>
          <w:ilvl w:val="0"/>
          <w:numId w:val="7"/>
        </w:numPr>
        <w:kinsoku/>
        <w:topLinePunct/>
        <w:autoSpaceDE/>
        <w:autoSpaceDN/>
        <w:adjustRightInd/>
        <w:snapToGrid/>
        <w:spacing w:line="570" w:lineRule="exact"/>
        <w:ind w:firstLine="640" w:firstLineChars="200"/>
        <w:jc w:val="both"/>
        <w:outlineLvl w:val="4"/>
        <w:rPr>
          <w:rFonts w:ascii="Times New Roman" w:hAnsi="Times New Roman" w:eastAsia="仿宋_GB2312" w:cs="Times New Roman"/>
          <w:color w:val="auto"/>
          <w:sz w:val="32"/>
          <w:szCs w:val="32"/>
          <w:lang w:eastAsia="zh-CN"/>
        </w:rPr>
      </w:pPr>
      <w:r>
        <w:rPr>
          <w:rFonts w:ascii="Times New Roman" w:hAnsi="Times New Roman" w:eastAsia="仿宋_GB2312" w:cs="Times New Roman"/>
          <w:bCs/>
          <w:color w:val="auto"/>
          <w:sz w:val="32"/>
          <w:szCs w:val="32"/>
          <w:lang w:eastAsia="zh-CN"/>
        </w:rPr>
        <w:t>按照公共资源交易领域失信联合惩戒要求，对失信主体信息进行记录、管理、公开。</w:t>
      </w:r>
    </w:p>
    <w:p w14:paraId="4F18EBC0">
      <w:pPr>
        <w:widowControl w:val="0"/>
        <w:numPr>
          <w:ilvl w:val="0"/>
          <w:numId w:val="5"/>
        </w:numPr>
        <w:kinsoku/>
        <w:topLinePunct/>
        <w:autoSpaceDE/>
        <w:autoSpaceDN/>
        <w:adjustRightInd/>
        <w:snapToGrid/>
        <w:spacing w:line="570" w:lineRule="exact"/>
        <w:ind w:left="0" w:firstLine="640"/>
        <w:jc w:val="both"/>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对有第（一）款中违约</w:t>
      </w:r>
      <w:r>
        <w:rPr>
          <w:rFonts w:hint="eastAsia" w:ascii="Times New Roman" w:hAnsi="Times New Roman" w:eastAsia="仿宋_GB2312" w:cs="Times New Roman"/>
          <w:bCs/>
          <w:color w:val="auto"/>
          <w:sz w:val="32"/>
          <w:szCs w:val="32"/>
          <w:lang w:eastAsia="zh-CN"/>
        </w:rPr>
        <w:t>或（或违法）</w:t>
      </w:r>
      <w:r>
        <w:rPr>
          <w:rFonts w:ascii="Times New Roman" w:hAnsi="Times New Roman" w:eastAsia="仿宋_GB2312" w:cs="Times New Roman"/>
          <w:bCs/>
          <w:color w:val="auto"/>
          <w:sz w:val="32"/>
          <w:szCs w:val="32"/>
          <w:lang w:eastAsia="zh-CN"/>
        </w:rPr>
        <w:t>行为的，</w:t>
      </w:r>
      <w:r>
        <w:rPr>
          <w:rFonts w:hint="eastAsia" w:ascii="Times New Roman" w:hAnsi="Times New Roman" w:eastAsia="仿宋_GB2312" w:cs="Times New Roman"/>
          <w:bCs/>
          <w:color w:val="auto"/>
          <w:sz w:val="32"/>
          <w:szCs w:val="32"/>
          <w:lang w:eastAsia="zh-CN"/>
        </w:rPr>
        <w:t>未签订《非油气采矿权出让合同》的，</w:t>
      </w:r>
      <w:r>
        <w:rPr>
          <w:rFonts w:ascii="Times New Roman" w:hAnsi="Times New Roman" w:eastAsia="仿宋_GB2312" w:cs="Times New Roman"/>
          <w:bCs/>
          <w:color w:val="auto"/>
          <w:sz w:val="32"/>
          <w:szCs w:val="32"/>
          <w:lang w:eastAsia="zh-CN"/>
        </w:rPr>
        <w:t>保证金不予退还</w:t>
      </w:r>
      <w:r>
        <w:rPr>
          <w:rFonts w:hint="eastAsia" w:ascii="Times New Roman" w:hAnsi="Times New Roman" w:eastAsia="仿宋_GB2312" w:cs="Times New Roman"/>
          <w:bCs/>
          <w:color w:val="auto"/>
          <w:sz w:val="32"/>
          <w:szCs w:val="32"/>
          <w:lang w:eastAsia="zh-CN"/>
        </w:rPr>
        <w:t>，并依法承担相应责任；构成犯罪的，依法追究刑事责任。</w:t>
      </w:r>
    </w:p>
    <w:p w14:paraId="26F95CEC">
      <w:pPr>
        <w:widowControl w:val="0"/>
        <w:numPr>
          <w:ilvl w:val="0"/>
          <w:numId w:val="4"/>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出让人与竞得人签订出让合同后发生的违约情形及违约责任的，按签订的《采矿权出让合同》有关规定处理。</w:t>
      </w:r>
    </w:p>
    <w:p w14:paraId="03A1B1BF">
      <w:pPr>
        <w:widowControl w:val="0"/>
        <w:numPr>
          <w:ilvl w:val="0"/>
          <w:numId w:val="4"/>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广东省湛江市公共资源交易中心与竞买人或竞得（候选）人因网上交易产生纠纷的，双方应协商解决，协商不成的，可依法通过诉讼途径解决。</w:t>
      </w:r>
    </w:p>
    <w:p w14:paraId="7978B381">
      <w:pPr>
        <w:keepNext w:val="0"/>
        <w:keepLines w:val="0"/>
        <w:pageBreakBefore w:val="0"/>
        <w:widowControl w:val="0"/>
        <w:numPr>
          <w:ilvl w:val="0"/>
          <w:numId w:val="2"/>
        </w:numPr>
        <w:kinsoku/>
        <w:wordWrap/>
        <w:overflowPunct/>
        <w:topLinePunct/>
        <w:autoSpaceDE/>
        <w:autoSpaceDN/>
        <w:bidi w:val="0"/>
        <w:adjustRightInd/>
        <w:snapToGrid/>
        <w:spacing w:line="580" w:lineRule="exact"/>
        <w:ind w:firstLine="640"/>
        <w:jc w:val="both"/>
        <w:textAlignment w:val="baseline"/>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风险告知</w:t>
      </w:r>
    </w:p>
    <w:p w14:paraId="6E3AE3D4">
      <w:pPr>
        <w:keepNext w:val="0"/>
        <w:keepLines w:val="0"/>
        <w:pageBreakBefore w:val="0"/>
        <w:widowControl w:val="0"/>
        <w:numPr>
          <w:ilvl w:val="0"/>
          <w:numId w:val="8"/>
        </w:numPr>
        <w:kinsoku/>
        <w:wordWrap/>
        <w:overflowPunct/>
        <w:topLinePunct/>
        <w:autoSpaceDE/>
        <w:autoSpaceDN/>
        <w:bidi w:val="0"/>
        <w:adjustRightInd/>
        <w:snapToGrid/>
        <w:spacing w:line="580" w:lineRule="exact"/>
        <w:jc w:val="both"/>
        <w:textAlignment w:val="baseline"/>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凡在矿业权网上交易系统上以竞买人的CA数字证书和密码登录进行的操作，均被视为竞买人本人的行为，竞买人应当对以其CA数字证书进行的所有活动负法律责任。</w:t>
      </w:r>
    </w:p>
    <w:p w14:paraId="78192DFC">
      <w:pPr>
        <w:keepNext w:val="0"/>
        <w:keepLines w:val="0"/>
        <w:pageBreakBefore w:val="0"/>
        <w:widowControl w:val="0"/>
        <w:numPr>
          <w:ilvl w:val="0"/>
          <w:numId w:val="8"/>
        </w:numPr>
        <w:kinsoku/>
        <w:wordWrap/>
        <w:overflowPunct/>
        <w:topLinePunct/>
        <w:autoSpaceDE/>
        <w:autoSpaceDN/>
        <w:bidi w:val="0"/>
        <w:adjustRightInd/>
        <w:snapToGrid/>
        <w:spacing w:line="580" w:lineRule="exact"/>
        <w:jc w:val="both"/>
        <w:textAlignment w:val="baseline"/>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因竞买人如下行为产生的一切后果，由竞买人承担：</w:t>
      </w:r>
    </w:p>
    <w:p w14:paraId="20F9669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baseline"/>
        <w:outlineLvl w:val="4"/>
        <w:rPr>
          <w:rFonts w:ascii="Times New Roman" w:hAnsi="Times New Roman" w:eastAsia="仿宋_GB2312" w:cs="Times New Roman"/>
          <w:color w:val="auto"/>
          <w:sz w:val="32"/>
          <w:szCs w:val="32"/>
          <w:lang w:eastAsia="zh-CN"/>
        </w:rPr>
      </w:pPr>
      <w:r>
        <w:rPr>
          <w:rFonts w:ascii="Times New Roman" w:hAnsi="Times New Roman" w:eastAsia="仿宋_GB2312" w:cs="Times New Roman"/>
          <w:bCs/>
          <w:color w:val="auto"/>
          <w:sz w:val="32"/>
          <w:szCs w:val="32"/>
          <w:lang w:eastAsia="zh-CN"/>
        </w:rPr>
        <w:t>1. 未及时登录交易系统、未及时关注相关竞价信息、未及时出价等导致没有参加竞价活动的；</w:t>
      </w:r>
    </w:p>
    <w:p w14:paraId="2891DF4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baseline"/>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color w:val="auto"/>
          <w:sz w:val="32"/>
          <w:szCs w:val="32"/>
          <w:lang w:eastAsia="zh-CN"/>
        </w:rPr>
        <w:t xml:space="preserve">2. </w:t>
      </w:r>
      <w:r>
        <w:rPr>
          <w:rFonts w:ascii="Times New Roman" w:hAnsi="Times New Roman" w:eastAsia="仿宋_GB2312" w:cs="Times New Roman"/>
          <w:bCs/>
          <w:color w:val="auto"/>
          <w:sz w:val="32"/>
          <w:szCs w:val="32"/>
          <w:lang w:eastAsia="zh-CN"/>
        </w:rPr>
        <w:t>由于竞买人自身的终端设备和网络异常或操作不当等原因导致无法正常出价的；</w:t>
      </w:r>
    </w:p>
    <w:p w14:paraId="61A925B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baseline"/>
        <w:outlineLvl w:val="4"/>
        <w:rPr>
          <w:rFonts w:ascii="Times New Roman" w:hAnsi="Times New Roman" w:eastAsia="仿宋_GB2312" w:cs="Times New Roman"/>
          <w:bCs/>
          <w:color w:val="auto"/>
          <w:sz w:val="32"/>
          <w:szCs w:val="32"/>
          <w:lang w:eastAsia="zh-CN"/>
        </w:rPr>
      </w:pPr>
      <w:r>
        <w:rPr>
          <w:rFonts w:ascii="Times New Roman" w:hAnsi="Times New Roman" w:eastAsia="仿宋_GB2312" w:cs="Times New Roman"/>
          <w:color w:val="auto"/>
          <w:sz w:val="32"/>
          <w:szCs w:val="32"/>
          <w:lang w:eastAsia="zh-CN"/>
        </w:rPr>
        <w:t xml:space="preserve">3. </w:t>
      </w:r>
      <w:r>
        <w:rPr>
          <w:rFonts w:ascii="Times New Roman" w:hAnsi="Times New Roman" w:eastAsia="仿宋_GB2312" w:cs="Times New Roman"/>
          <w:bCs/>
          <w:color w:val="auto"/>
          <w:sz w:val="32"/>
          <w:szCs w:val="32"/>
          <w:lang w:eastAsia="zh-CN"/>
        </w:rPr>
        <w:t>网络竞价的时间以交易系统服务器时间为准，由于竞买人自身终端设备时间与交易系统服务器时间不符而导致未能及时</w:t>
      </w:r>
      <w:r>
        <w:rPr>
          <w:rFonts w:hint="eastAsia" w:ascii="Times New Roman" w:hAnsi="Times New Roman" w:eastAsia="仿宋_GB2312" w:cs="Times New Roman"/>
          <w:bCs/>
          <w:color w:val="auto"/>
          <w:sz w:val="32"/>
          <w:szCs w:val="32"/>
          <w:lang w:eastAsia="zh-CN"/>
        </w:rPr>
        <w:t>参与竞价的。</w:t>
      </w:r>
    </w:p>
    <w:p w14:paraId="579DC69D">
      <w:pPr>
        <w:keepNext w:val="0"/>
        <w:keepLines w:val="0"/>
        <w:pageBreakBefore w:val="0"/>
        <w:widowControl w:val="0"/>
        <w:numPr>
          <w:ilvl w:val="0"/>
          <w:numId w:val="8"/>
        </w:numPr>
        <w:kinsoku/>
        <w:wordWrap/>
        <w:overflowPunct/>
        <w:topLinePunct/>
        <w:autoSpaceDE/>
        <w:autoSpaceDN/>
        <w:bidi w:val="0"/>
        <w:adjustRightInd/>
        <w:snapToGrid/>
        <w:spacing w:line="580" w:lineRule="exact"/>
        <w:jc w:val="both"/>
        <w:textAlignment w:val="baseline"/>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出让人、协办人、矿业权交易机构均不承担任何赔偿责任。竞买人一旦参与网上竞价，即表明认同和接受网络竞价的客观状态、竞价系统传导给客户端的标的图文信息、成交价等。</w:t>
      </w:r>
    </w:p>
    <w:p w14:paraId="50383E46">
      <w:pPr>
        <w:pStyle w:val="2"/>
        <w:keepNext w:val="0"/>
        <w:keepLines w:val="0"/>
        <w:pageBreakBefore w:val="0"/>
        <w:wordWrap/>
        <w:overflowPunct/>
        <w:bidi w:val="0"/>
        <w:spacing w:line="580" w:lineRule="exact"/>
        <w:jc w:val="both"/>
        <w:textAlignment w:val="baseline"/>
        <w:rPr>
          <w:rFonts w:hint="eastAsia" w:ascii="仿宋_GB2312" w:hAnsi="仿宋_GB2312" w:eastAsia="仿宋_GB2312" w:cs="仿宋_GB2312"/>
          <w:bCs/>
          <w:snapToGrid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bCs/>
          <w:color w:val="auto"/>
          <w:sz w:val="32"/>
          <w:szCs w:val="32"/>
          <w:lang w:val="en-US" w:eastAsia="zh-CN"/>
        </w:rPr>
        <w:t xml:space="preserve">   （四）</w:t>
      </w:r>
      <w:r>
        <w:rPr>
          <w:rFonts w:hint="eastAsia" w:ascii="仿宋_GB2312" w:hAnsi="仿宋_GB2312" w:eastAsia="仿宋_GB2312" w:cs="仿宋_GB2312"/>
          <w:bCs/>
          <w:snapToGrid w:val="0"/>
          <w:color w:val="000000" w:themeColor="text1"/>
          <w:sz w:val="32"/>
          <w:szCs w:val="32"/>
          <w:lang w:val="en-US" w:eastAsia="zh-CN" w:bidi="ar-SA"/>
          <w14:textFill>
            <w14:solidFill>
              <w14:schemeClr w14:val="tx1"/>
            </w14:solidFill>
          </w14:textFill>
        </w:rPr>
        <w:t>广东省遂溪县港门镇北地村矿区建筑用砂矿采矿权矿区范围总面积约165581.45平方米（符合矿产资源总体规划），其中符合国土空间规划属于采矿用地的面积约165580.26平方米，不属于采矿用地的面积约1.19平方米（属于林地，位置位于矿区红线边界的边缘处）。竞得人取得该采矿权后，若在办理相关用地手续时，办理不了不属于采矿用地约1.19平方米面积的报批手续，必须承担放弃开采这部分的风险。</w:t>
      </w:r>
    </w:p>
    <w:p w14:paraId="2D0580B4">
      <w:pPr>
        <w:pStyle w:val="5"/>
        <w:widowControl w:val="0"/>
        <w:kinsoku/>
        <w:topLinePunct/>
        <w:autoSpaceDE/>
        <w:autoSpaceDN/>
        <w:adjustRightInd/>
        <w:snapToGrid/>
        <w:spacing w:line="570" w:lineRule="exact"/>
        <w:ind w:firstLine="643"/>
        <w:jc w:val="both"/>
        <w:rPr>
          <w:rFonts w:ascii="Times New Roman" w:hAnsi="Times New Roman" w:eastAsia="仿宋_GB2312" w:cs="Times New Roman"/>
          <w:bCs/>
          <w:color w:val="auto"/>
          <w:sz w:val="32"/>
          <w:szCs w:val="32"/>
          <w:lang w:eastAsia="zh-CN"/>
        </w:rPr>
      </w:pPr>
    </w:p>
    <w:p w14:paraId="31F4A26C">
      <w:pPr>
        <w:pStyle w:val="5"/>
        <w:widowControl w:val="0"/>
        <w:numPr>
          <w:ilvl w:val="0"/>
          <w:numId w:val="0"/>
        </w:numPr>
        <w:kinsoku/>
        <w:topLinePunct/>
        <w:autoSpaceDE/>
        <w:autoSpaceDN/>
        <w:adjustRightInd/>
        <w:snapToGrid/>
        <w:spacing w:line="570" w:lineRule="exact"/>
        <w:jc w:val="center"/>
        <w:outlineLvl w:val="0"/>
        <w:rPr>
          <w:rFonts w:hint="eastAsia" w:ascii="黑体" w:hAnsi="黑体" w:eastAsia="黑体" w:cs="黑体"/>
          <w:b/>
          <w:bCs w:val="0"/>
          <w:color w:val="auto"/>
          <w:sz w:val="32"/>
          <w:szCs w:val="32"/>
          <w:lang w:eastAsia="zh-CN"/>
        </w:rPr>
      </w:pPr>
      <w:r>
        <w:rPr>
          <w:rFonts w:hint="eastAsia" w:ascii="黑体" w:hAnsi="黑体" w:eastAsia="黑体" w:cs="黑体"/>
          <w:b/>
          <w:bCs w:val="0"/>
          <w:color w:val="auto"/>
          <w:sz w:val="32"/>
          <w:szCs w:val="32"/>
          <w:lang w:val="en-US" w:eastAsia="zh-CN"/>
        </w:rPr>
        <w:t xml:space="preserve">第二章  </w:t>
      </w:r>
      <w:r>
        <w:rPr>
          <w:rFonts w:hint="eastAsia" w:ascii="黑体" w:hAnsi="黑体" w:eastAsia="黑体" w:cs="黑体"/>
          <w:b/>
          <w:bCs w:val="0"/>
          <w:color w:val="auto"/>
          <w:sz w:val="32"/>
          <w:szCs w:val="32"/>
          <w:lang w:eastAsia="zh-CN"/>
        </w:rPr>
        <w:t>挂牌报价规则</w:t>
      </w:r>
    </w:p>
    <w:p w14:paraId="75BA6360">
      <w:pPr>
        <w:pStyle w:val="5"/>
        <w:widowControl w:val="0"/>
        <w:kinsoku/>
        <w:topLinePunct/>
        <w:autoSpaceDE/>
        <w:autoSpaceDN/>
        <w:adjustRightInd/>
        <w:snapToGrid/>
        <w:spacing w:line="570" w:lineRule="exact"/>
        <w:ind w:firstLine="643"/>
        <w:jc w:val="both"/>
        <w:rPr>
          <w:rFonts w:ascii="Times New Roman" w:hAnsi="Times New Roman" w:eastAsia="方正小标宋简体" w:cs="Times New Roman"/>
          <w:bCs/>
          <w:color w:val="auto"/>
          <w:sz w:val="32"/>
          <w:szCs w:val="32"/>
          <w:lang w:eastAsia="zh-CN"/>
        </w:rPr>
      </w:pPr>
    </w:p>
    <w:p w14:paraId="1AC6F8AA">
      <w:pPr>
        <w:widowControl w:val="0"/>
        <w:numPr>
          <w:ilvl w:val="0"/>
          <w:numId w:val="9"/>
        </w:numPr>
        <w:kinsoku/>
        <w:topLinePunct/>
        <w:autoSpaceDE/>
        <w:autoSpaceDN/>
        <w:adjustRightInd/>
        <w:snapToGrid/>
        <w:spacing w:line="570" w:lineRule="exact"/>
        <w:ind w:firstLine="640"/>
        <w:jc w:val="both"/>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本规则依据《中华人民共和国矿产资源法》《矿业权出让交易规则》及相关法律法规制定，凡参加挂牌报价的竞买人必须遵守本规则各项规定，并对自己在挂牌活动中的行为负责。</w:t>
      </w:r>
    </w:p>
    <w:p w14:paraId="0CCE56CA">
      <w:pPr>
        <w:widowControl w:val="0"/>
        <w:numPr>
          <w:ilvl w:val="0"/>
          <w:numId w:val="9"/>
        </w:numPr>
        <w:kinsoku/>
        <w:topLinePunct/>
        <w:autoSpaceDE/>
        <w:autoSpaceDN/>
        <w:adjustRightInd/>
        <w:snapToGrid/>
        <w:spacing w:line="570" w:lineRule="exact"/>
        <w:ind w:firstLine="640"/>
        <w:jc w:val="both"/>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本次挂牌严格遵循“公开、公平、公正、诚实信用”的挂牌原则和“价高者得”的竞买原则。</w:t>
      </w:r>
    </w:p>
    <w:p w14:paraId="3BD04487">
      <w:pPr>
        <w:widowControl w:val="0"/>
        <w:numPr>
          <w:ilvl w:val="0"/>
          <w:numId w:val="9"/>
        </w:numPr>
        <w:kinsoku/>
        <w:topLinePunct/>
        <w:autoSpaceDE/>
        <w:autoSpaceDN/>
        <w:adjustRightInd/>
        <w:snapToGrid/>
        <w:spacing w:line="570" w:lineRule="exact"/>
        <w:ind w:firstLine="640"/>
        <w:jc w:val="both"/>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报价程序</w:t>
      </w:r>
    </w:p>
    <w:p w14:paraId="7AAB2764">
      <w:pPr>
        <w:widowControl w:val="0"/>
        <w:numPr>
          <w:ilvl w:val="0"/>
          <w:numId w:val="10"/>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意向竞买人如确定参加竞买活动，须办理CA数字证书登录广东省公共资源交易中心平台（湛江市）(https://ygp.gdzwfw.gov.cn/ggzy-portal/#/440800/index)进行报名。如在操作中遇到问题请及时与平台联系。报名并通过资格审查后，应在网上挂牌截止前凭CA数字证书登录交易系统进行网上报价。</w:t>
      </w:r>
    </w:p>
    <w:p w14:paraId="0EA0DC5C">
      <w:pPr>
        <w:widowControl w:val="0"/>
        <w:numPr>
          <w:ilvl w:val="0"/>
          <w:numId w:val="10"/>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网上挂牌起始日后可按本次挂牌报价规则进行网上有效报价和限时竞价的有效报价。</w:t>
      </w:r>
    </w:p>
    <w:p w14:paraId="21FF680E">
      <w:pPr>
        <w:widowControl w:val="0"/>
        <w:numPr>
          <w:ilvl w:val="0"/>
          <w:numId w:val="10"/>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报价相同时，系统自动确认先提交价格者为报价人。</w:t>
      </w:r>
    </w:p>
    <w:p w14:paraId="454017C4">
      <w:pPr>
        <w:widowControl w:val="0"/>
        <w:numPr>
          <w:ilvl w:val="0"/>
          <w:numId w:val="10"/>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竞买人应当谨慎报价，报价一经提交并经交易系统记录即视为有效报价，不得撤回。</w:t>
      </w:r>
    </w:p>
    <w:p w14:paraId="6ADEB5BF">
      <w:pPr>
        <w:widowControl w:val="0"/>
        <w:numPr>
          <w:ilvl w:val="0"/>
          <w:numId w:val="9"/>
        </w:numPr>
        <w:kinsoku/>
        <w:topLinePunct/>
        <w:autoSpaceDE/>
        <w:autoSpaceDN/>
        <w:adjustRightInd/>
        <w:snapToGrid/>
        <w:spacing w:line="570" w:lineRule="exact"/>
        <w:ind w:firstLine="640"/>
        <w:jc w:val="both"/>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网上竞价规则</w:t>
      </w:r>
    </w:p>
    <w:p w14:paraId="240C333A">
      <w:pPr>
        <w:widowControl w:val="0"/>
        <w:numPr>
          <w:ilvl w:val="0"/>
          <w:numId w:val="11"/>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以增价方式和规定的增价幅度报价。</w:t>
      </w:r>
    </w:p>
    <w:p w14:paraId="3ECDBBC2">
      <w:pPr>
        <w:widowControl w:val="0"/>
        <w:numPr>
          <w:ilvl w:val="0"/>
          <w:numId w:val="11"/>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同一竞买人可连续或多次报价。</w:t>
      </w:r>
    </w:p>
    <w:p w14:paraId="4E1677F6">
      <w:pPr>
        <w:widowControl w:val="0"/>
        <w:numPr>
          <w:ilvl w:val="0"/>
          <w:numId w:val="11"/>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初次报价不得低于起始价。</w:t>
      </w:r>
    </w:p>
    <w:p w14:paraId="3568F8D8">
      <w:pPr>
        <w:widowControl w:val="0"/>
        <w:numPr>
          <w:ilvl w:val="0"/>
          <w:numId w:val="11"/>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初次报价后的每次报价应当比当前最高有效报价增加至少一个加价幅度，否则为无效报价，系统不予接受。</w:t>
      </w:r>
    </w:p>
    <w:p w14:paraId="13F4EC5B">
      <w:pPr>
        <w:widowControl w:val="0"/>
        <w:numPr>
          <w:ilvl w:val="0"/>
          <w:numId w:val="11"/>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符合相关条件的报价，交易系统予以接受，并即时公布。</w:t>
      </w:r>
    </w:p>
    <w:p w14:paraId="6D03AC2E">
      <w:pPr>
        <w:widowControl w:val="0"/>
        <w:numPr>
          <w:ilvl w:val="0"/>
          <w:numId w:val="11"/>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网上挂牌报价时间截止时无人报价的，网上挂牌不成交，系统自动终止该宗矿业权的网上挂牌活动。</w:t>
      </w:r>
    </w:p>
    <w:p w14:paraId="1BD8934A">
      <w:pPr>
        <w:widowControl w:val="0"/>
        <w:numPr>
          <w:ilvl w:val="0"/>
          <w:numId w:val="11"/>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网上挂牌报价时间截止时只有1名竞买人报价的且报价不低于</w:t>
      </w:r>
      <w:r>
        <w:rPr>
          <w:rFonts w:hint="eastAsia" w:ascii="Times New Roman" w:hAnsi="Times New Roman" w:eastAsia="仿宋_GB2312" w:cs="Times New Roman"/>
          <w:bCs/>
          <w:color w:val="auto"/>
          <w:sz w:val="32"/>
          <w:szCs w:val="32"/>
          <w:lang w:val="en-US" w:eastAsia="zh-CN"/>
        </w:rPr>
        <w:t>底价</w:t>
      </w:r>
      <w:r>
        <w:rPr>
          <w:rFonts w:hint="eastAsia" w:ascii="Times New Roman" w:hAnsi="Times New Roman" w:eastAsia="仿宋_GB2312" w:cs="Times New Roman"/>
          <w:bCs/>
          <w:color w:val="auto"/>
          <w:sz w:val="32"/>
          <w:szCs w:val="32"/>
          <w:lang w:eastAsia="zh-CN"/>
        </w:rPr>
        <w:t>的，该竞买人为竞得候选人。</w:t>
      </w:r>
    </w:p>
    <w:p w14:paraId="2D2DDFF8">
      <w:pPr>
        <w:spacing w:line="570" w:lineRule="exact"/>
        <w:ind w:firstLine="640" w:firstLineChars="200"/>
        <w:contextualSpacing/>
        <w:jc w:val="both"/>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网上挂牌报价时间截止时，</w:t>
      </w:r>
      <w:r>
        <w:rPr>
          <w:rFonts w:hint="eastAsia" w:ascii="Times New Roman" w:hAnsi="Times New Roman" w:eastAsia="仿宋_GB2312" w:cs="Times New Roman"/>
          <w:bCs/>
          <w:color w:val="auto"/>
          <w:sz w:val="32"/>
          <w:szCs w:val="32"/>
          <w:lang w:eastAsia="zh-CN"/>
        </w:rPr>
        <w:t>有1名以上竞买人</w:t>
      </w:r>
      <w:r>
        <w:rPr>
          <w:rFonts w:ascii="Times New Roman" w:hAnsi="Times New Roman" w:eastAsia="仿宋_GB2312" w:cs="Times New Roman"/>
          <w:bCs/>
          <w:color w:val="auto"/>
          <w:sz w:val="32"/>
          <w:szCs w:val="32"/>
          <w:lang w:eastAsia="zh-CN"/>
        </w:rPr>
        <w:t>报价，交易系统进入5分钟询问期，若无竞买人继续竞价，则挂牌活动结束。若还有继续竞价的，则转入限时竞价阶段。</w:t>
      </w:r>
    </w:p>
    <w:p w14:paraId="515EADEB">
      <w:pPr>
        <w:pStyle w:val="5"/>
        <w:widowControl w:val="0"/>
        <w:kinsoku/>
        <w:topLinePunct/>
        <w:autoSpaceDE/>
        <w:autoSpaceDN/>
        <w:adjustRightInd/>
        <w:snapToGrid/>
        <w:spacing w:line="570" w:lineRule="exact"/>
        <w:ind w:firstLine="640"/>
        <w:jc w:val="both"/>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在挂牌竞价阶段内所有有效报价的竞买人均可参加限时竞价，未报价或报价无效的竞买人不能参加限时竞价。</w:t>
      </w:r>
    </w:p>
    <w:p w14:paraId="7426F9BA">
      <w:pPr>
        <w:widowControl w:val="0"/>
        <w:numPr>
          <w:ilvl w:val="0"/>
          <w:numId w:val="11"/>
        </w:numPr>
        <w:kinsoku/>
        <w:topLinePunct/>
        <w:autoSpaceDE/>
        <w:autoSpaceDN/>
        <w:adjustRightInd/>
        <w:snapToGrid/>
        <w:spacing w:line="570" w:lineRule="exact"/>
        <w:jc w:val="both"/>
        <w:outlineLvl w:val="4"/>
        <w:rPr>
          <w:rFonts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 xml:space="preserve"> 限时竞价阶段以5分钟倒计时为竞价时限。如在5分钟倒计时内有新的报价，系统即从接受新的报价起重新倒计时5分钟。5分钟倒计时截止无新的报价，则挂牌活动结束。系统即时关闭报价通道，报价最高</w:t>
      </w:r>
      <w:r>
        <w:rPr>
          <w:rFonts w:hint="eastAsia" w:ascii="Times New Roman" w:hAnsi="Times New Roman" w:eastAsia="仿宋_GB2312" w:cs="Times New Roman"/>
          <w:bCs/>
          <w:color w:val="auto"/>
          <w:sz w:val="32"/>
          <w:szCs w:val="32"/>
          <w:lang w:val="en-US" w:eastAsia="zh-CN"/>
        </w:rPr>
        <w:t>者</w:t>
      </w:r>
      <w:r>
        <w:rPr>
          <w:rFonts w:hint="eastAsia" w:ascii="Times New Roman" w:hAnsi="Times New Roman" w:eastAsia="仿宋_GB2312" w:cs="Times New Roman"/>
          <w:bCs/>
          <w:color w:val="auto"/>
          <w:sz w:val="32"/>
          <w:szCs w:val="32"/>
          <w:lang w:eastAsia="zh-CN"/>
        </w:rPr>
        <w:t>的（</w:t>
      </w:r>
      <w:r>
        <w:rPr>
          <w:rFonts w:hint="eastAsia" w:ascii="Times New Roman" w:hAnsi="Times New Roman" w:eastAsia="仿宋_GB2312" w:cs="Times New Roman"/>
          <w:bCs/>
          <w:color w:val="auto"/>
          <w:sz w:val="32"/>
          <w:szCs w:val="32"/>
          <w:lang w:val="en-US" w:eastAsia="zh-CN"/>
        </w:rPr>
        <w:t>不低于底价</w:t>
      </w:r>
      <w:r>
        <w:rPr>
          <w:rFonts w:hint="eastAsia" w:ascii="Times New Roman" w:hAnsi="Times New Roman" w:eastAsia="仿宋_GB2312" w:cs="Times New Roman"/>
          <w:bCs/>
          <w:color w:val="auto"/>
          <w:sz w:val="32"/>
          <w:szCs w:val="32"/>
          <w:lang w:eastAsia="zh-CN"/>
        </w:rPr>
        <w:t>）为竞得候选人。</w:t>
      </w:r>
    </w:p>
    <w:p w14:paraId="2218A42D">
      <w:pPr>
        <w:widowControl w:val="0"/>
        <w:numPr>
          <w:ilvl w:val="0"/>
          <w:numId w:val="9"/>
        </w:numPr>
        <w:kinsoku/>
        <w:topLinePunct/>
        <w:autoSpaceDE/>
        <w:autoSpaceDN/>
        <w:adjustRightInd/>
        <w:snapToGrid/>
        <w:spacing w:line="570" w:lineRule="exact"/>
        <w:ind w:firstLine="640"/>
        <w:jc w:val="both"/>
        <w:outlineLvl w:val="1"/>
        <w:rPr>
          <w:rFonts w:ascii="Times New Roman" w:hAnsi="黑体" w:eastAsia="黑体" w:cs="Times New Roman"/>
          <w:bCs/>
          <w:color w:val="auto"/>
          <w:sz w:val="32"/>
          <w:szCs w:val="32"/>
          <w:lang w:eastAsia="zh-CN"/>
        </w:rPr>
      </w:pPr>
      <w:r>
        <w:rPr>
          <w:rFonts w:hint="eastAsia" w:ascii="Times New Roman" w:hAnsi="黑体" w:eastAsia="黑体" w:cs="Times New Roman"/>
          <w:bCs/>
          <w:color w:val="auto"/>
          <w:sz w:val="32"/>
          <w:szCs w:val="32"/>
          <w:lang w:eastAsia="zh-CN"/>
        </w:rPr>
        <w:t>确定竞得候选人</w:t>
      </w:r>
    </w:p>
    <w:p w14:paraId="6DE0A391">
      <w:pPr>
        <w:pStyle w:val="5"/>
        <w:widowControl w:val="0"/>
        <w:kinsoku/>
        <w:topLinePunct/>
        <w:autoSpaceDE/>
        <w:autoSpaceDN/>
        <w:adjustRightInd/>
        <w:snapToGrid/>
        <w:spacing w:line="570" w:lineRule="exact"/>
        <w:ind w:firstLine="640" w:firstLineChars="200"/>
        <w:jc w:val="both"/>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网上挂牌成交后，网上交易系统</w:t>
      </w:r>
      <w:r>
        <w:rPr>
          <w:rFonts w:hint="eastAsia" w:ascii="Times New Roman" w:hAnsi="Times New Roman" w:eastAsia="仿宋_GB2312" w:cs="Times New Roman"/>
          <w:bCs/>
          <w:color w:val="auto"/>
          <w:sz w:val="32"/>
          <w:szCs w:val="32"/>
          <w:lang w:eastAsia="zh-CN"/>
        </w:rPr>
        <w:t>自动</w:t>
      </w:r>
      <w:r>
        <w:rPr>
          <w:rFonts w:ascii="Times New Roman" w:hAnsi="Times New Roman" w:eastAsia="仿宋_GB2312" w:cs="Times New Roman"/>
          <w:bCs/>
          <w:color w:val="auto"/>
          <w:sz w:val="32"/>
          <w:szCs w:val="32"/>
          <w:lang w:eastAsia="zh-CN"/>
        </w:rPr>
        <w:t>确定竞得候选人，竞得候选人在网上竞价交易结束后1日内</w:t>
      </w:r>
      <w:r>
        <w:rPr>
          <w:rFonts w:hint="eastAsia" w:ascii="Times New Roman" w:hAnsi="Times New Roman" w:eastAsia="仿宋_GB2312" w:cs="Times New Roman"/>
          <w:bCs/>
          <w:color w:val="auto"/>
          <w:sz w:val="32"/>
          <w:szCs w:val="32"/>
          <w:lang w:eastAsia="zh-CN"/>
        </w:rPr>
        <w:t>通过</w:t>
      </w:r>
      <w:r>
        <w:rPr>
          <w:rFonts w:ascii="Times New Roman" w:hAnsi="Times New Roman" w:eastAsia="仿宋_GB2312" w:cs="Times New Roman"/>
          <w:bCs/>
          <w:color w:val="auto"/>
          <w:sz w:val="32"/>
          <w:szCs w:val="32"/>
          <w:lang w:eastAsia="zh-CN"/>
        </w:rPr>
        <w:t>交易系统</w:t>
      </w:r>
      <w:r>
        <w:rPr>
          <w:rFonts w:hint="eastAsia" w:ascii="Times New Roman" w:hAnsi="Times New Roman" w:eastAsia="仿宋_GB2312" w:cs="Times New Roman"/>
          <w:bCs/>
          <w:color w:val="auto"/>
          <w:sz w:val="32"/>
          <w:szCs w:val="32"/>
          <w:lang w:eastAsia="zh-CN"/>
        </w:rPr>
        <w:t>自行</w:t>
      </w:r>
      <w:r>
        <w:rPr>
          <w:rFonts w:ascii="Times New Roman" w:hAnsi="Times New Roman" w:eastAsia="仿宋_GB2312" w:cs="Times New Roman"/>
          <w:bCs/>
          <w:color w:val="auto"/>
          <w:sz w:val="32"/>
          <w:szCs w:val="32"/>
          <w:lang w:eastAsia="zh-CN"/>
        </w:rPr>
        <w:t xml:space="preserve">打印《竞价结果通知书》, </w:t>
      </w:r>
      <w:r>
        <w:rPr>
          <w:rFonts w:hint="eastAsia" w:ascii="Times New Roman" w:hAnsi="Times New Roman" w:eastAsia="仿宋_GB2312" w:cs="Times New Roman"/>
          <w:bCs/>
          <w:color w:val="auto"/>
          <w:sz w:val="32"/>
          <w:szCs w:val="32"/>
          <w:lang w:eastAsia="zh-CN"/>
        </w:rPr>
        <w:t>并按照系统提示在交易结束后5个工作日内</w:t>
      </w:r>
      <w:r>
        <w:rPr>
          <w:rFonts w:ascii="Times New Roman" w:hAnsi="Times New Roman" w:eastAsia="仿宋_GB2312" w:cs="Times New Roman"/>
          <w:bCs/>
          <w:color w:val="auto"/>
          <w:sz w:val="32"/>
          <w:szCs w:val="32"/>
          <w:lang w:eastAsia="zh-CN"/>
        </w:rPr>
        <w:t>持《竞价结果通知书》和有关资料原件（含身份证明材料、营业执照副本、组织机构代码证、授权文件、竞买保证金交纳证明、交易条件中要求提供的资格文件等所有相关材料）到</w:t>
      </w:r>
      <w:r>
        <w:rPr>
          <w:rFonts w:hint="eastAsia" w:ascii="Times New Roman" w:hAnsi="Times New Roman" w:eastAsia="仿宋_GB2312" w:cs="Times New Roman"/>
          <w:bCs/>
          <w:color w:val="auto"/>
          <w:sz w:val="32"/>
          <w:szCs w:val="32"/>
          <w:lang w:eastAsia="zh-CN"/>
        </w:rPr>
        <w:t>广东省湛江市公共资源</w:t>
      </w:r>
      <w:r>
        <w:rPr>
          <w:rFonts w:ascii="Times New Roman" w:hAnsi="Times New Roman" w:eastAsia="仿宋_GB2312" w:cs="Times New Roman"/>
          <w:bCs/>
          <w:color w:val="auto"/>
          <w:sz w:val="32"/>
          <w:szCs w:val="32"/>
          <w:lang w:eastAsia="zh-CN"/>
        </w:rPr>
        <w:t>交易中心</w:t>
      </w:r>
      <w:r>
        <w:rPr>
          <w:rFonts w:hint="eastAsia" w:ascii="Times New Roman" w:hAnsi="Times New Roman" w:eastAsia="仿宋_GB2312" w:cs="Times New Roman"/>
          <w:bCs/>
          <w:color w:val="auto"/>
          <w:sz w:val="32"/>
          <w:szCs w:val="32"/>
          <w:lang w:eastAsia="zh-CN"/>
        </w:rPr>
        <w:t>办理成交确认手续</w:t>
      </w:r>
      <w:r>
        <w:rPr>
          <w:rFonts w:ascii="Times New Roman" w:hAnsi="Times New Roman" w:eastAsia="仿宋_GB2312" w:cs="Times New Roman"/>
          <w:bCs/>
          <w:color w:val="auto"/>
          <w:sz w:val="32"/>
          <w:szCs w:val="32"/>
          <w:lang w:eastAsia="zh-CN"/>
        </w:rPr>
        <w:t>。资格审查无误后，竞得候选人与</w:t>
      </w:r>
      <w:r>
        <w:rPr>
          <w:rFonts w:hint="eastAsia" w:ascii="Times New Roman" w:hAnsi="Times New Roman" w:eastAsia="仿宋_GB2312" w:cs="Times New Roman"/>
          <w:bCs/>
          <w:color w:val="auto"/>
          <w:sz w:val="32"/>
          <w:szCs w:val="32"/>
          <w:lang w:eastAsia="zh-CN"/>
        </w:rPr>
        <w:t>广东省湛江市公共资源</w:t>
      </w:r>
      <w:r>
        <w:rPr>
          <w:rFonts w:ascii="Times New Roman" w:hAnsi="Times New Roman" w:eastAsia="仿宋_GB2312" w:cs="Times New Roman"/>
          <w:bCs/>
          <w:color w:val="auto"/>
          <w:sz w:val="32"/>
          <w:szCs w:val="32"/>
          <w:lang w:eastAsia="zh-CN"/>
        </w:rPr>
        <w:t>交易中心签订《成交确认书》。</w:t>
      </w:r>
    </w:p>
    <w:p w14:paraId="66154F63">
      <w:pPr>
        <w:widowControl w:val="0"/>
        <w:numPr>
          <w:ilvl w:val="0"/>
          <w:numId w:val="9"/>
        </w:numPr>
        <w:kinsoku/>
        <w:topLinePunct/>
        <w:autoSpaceDE/>
        <w:autoSpaceDN/>
        <w:adjustRightInd/>
        <w:snapToGrid/>
        <w:spacing w:line="570" w:lineRule="exact"/>
        <w:ind w:firstLine="640"/>
        <w:jc w:val="both"/>
        <w:outlineLvl w:val="1"/>
        <w:rPr>
          <w:rFonts w:ascii="Times New Roman" w:hAnsi="黑体" w:eastAsia="黑体" w:cs="Times New Roman"/>
          <w:bCs/>
          <w:color w:val="auto"/>
          <w:sz w:val="32"/>
          <w:szCs w:val="32"/>
          <w:lang w:eastAsia="zh-CN"/>
        </w:rPr>
      </w:pPr>
      <w:r>
        <w:rPr>
          <w:rFonts w:ascii="Times New Roman" w:hAnsi="黑体" w:eastAsia="黑体" w:cs="Times New Roman"/>
          <w:bCs/>
          <w:color w:val="auto"/>
          <w:sz w:val="32"/>
          <w:szCs w:val="32"/>
          <w:lang w:eastAsia="zh-CN"/>
        </w:rPr>
        <w:t>出让结果公示</w:t>
      </w:r>
    </w:p>
    <w:p w14:paraId="596257C5">
      <w:pPr>
        <w:pStyle w:val="5"/>
        <w:widowControl w:val="0"/>
        <w:kinsoku/>
        <w:topLinePunct/>
        <w:autoSpaceDE/>
        <w:autoSpaceDN/>
        <w:adjustRightInd/>
        <w:snapToGrid/>
        <w:spacing w:line="570" w:lineRule="exact"/>
        <w:ind w:firstLine="640"/>
        <w:jc w:val="both"/>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出让结果于《采矿权出让成交确认书》签订之日起5个工作日内通过自然资源部网站、</w:t>
      </w:r>
      <w:r>
        <w:rPr>
          <w:rFonts w:hint="eastAsia" w:ascii="Times New Roman" w:hAnsi="Times New Roman" w:eastAsia="仿宋_GB2312" w:cs="Times New Roman"/>
          <w:bCs/>
          <w:color w:val="auto"/>
          <w:sz w:val="32"/>
          <w:szCs w:val="32"/>
          <w:lang w:eastAsia="zh-CN"/>
        </w:rPr>
        <w:t>遂溪县</w:t>
      </w:r>
      <w:r>
        <w:rPr>
          <w:rFonts w:ascii="Times New Roman" w:hAnsi="Times New Roman" w:eastAsia="仿宋_GB2312" w:cs="Times New Roman"/>
          <w:bCs/>
          <w:color w:val="auto"/>
          <w:sz w:val="32"/>
          <w:szCs w:val="32"/>
          <w:lang w:eastAsia="zh-CN"/>
        </w:rPr>
        <w:t>自然资源局门户网站、广东省公共资源交易中心平台（湛江市）网站公示10个工作日。</w:t>
      </w:r>
    </w:p>
    <w:p w14:paraId="2A52E624">
      <w:pPr>
        <w:pStyle w:val="5"/>
        <w:widowControl w:val="0"/>
        <w:kinsoku/>
        <w:topLinePunct/>
        <w:autoSpaceDE/>
        <w:autoSpaceDN/>
        <w:adjustRightInd/>
        <w:snapToGrid/>
        <w:spacing w:line="570" w:lineRule="exact"/>
        <w:ind w:firstLine="640"/>
        <w:jc w:val="both"/>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在公示期间对公示内容存有异议，请以书面材料形式送</w:t>
      </w:r>
      <w:r>
        <w:rPr>
          <w:rFonts w:hint="eastAsia" w:ascii="Times New Roman" w:hAnsi="Times New Roman" w:eastAsia="仿宋_GB2312" w:cs="Times New Roman"/>
          <w:bCs/>
          <w:color w:val="auto"/>
          <w:sz w:val="32"/>
          <w:szCs w:val="32"/>
          <w:lang w:eastAsia="zh-CN"/>
        </w:rPr>
        <w:t>遂溪县</w:t>
      </w:r>
      <w:r>
        <w:rPr>
          <w:rFonts w:ascii="Times New Roman" w:hAnsi="Times New Roman" w:eastAsia="仿宋_GB2312" w:cs="Times New Roman"/>
          <w:bCs/>
          <w:color w:val="auto"/>
          <w:sz w:val="32"/>
          <w:szCs w:val="32"/>
          <w:lang w:eastAsia="zh-CN"/>
        </w:rPr>
        <w:t>自然资源局（以公示期内收到时间为准）。</w:t>
      </w:r>
    </w:p>
    <w:p w14:paraId="16C38B3C">
      <w:pPr>
        <w:pStyle w:val="5"/>
        <w:widowControl w:val="0"/>
        <w:kinsoku/>
        <w:topLinePunct/>
        <w:autoSpaceDE/>
        <w:autoSpaceDN/>
        <w:adjustRightInd/>
        <w:snapToGrid/>
        <w:spacing w:line="570" w:lineRule="exact"/>
        <w:ind w:firstLine="640"/>
        <w:jc w:val="both"/>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联系人：</w:t>
      </w:r>
      <w:r>
        <w:rPr>
          <w:rFonts w:hint="eastAsia" w:ascii="Times New Roman" w:hAnsi="Times New Roman" w:eastAsia="仿宋_GB2312" w:cs="Times New Roman"/>
          <w:bCs/>
          <w:color w:val="auto"/>
          <w:sz w:val="32"/>
          <w:szCs w:val="32"/>
          <w:lang w:eastAsia="zh-CN"/>
        </w:rPr>
        <w:t>遂溪县</w:t>
      </w:r>
      <w:r>
        <w:rPr>
          <w:rFonts w:ascii="Times New Roman" w:hAnsi="Times New Roman" w:eastAsia="仿宋_GB2312" w:cs="Times New Roman"/>
          <w:bCs/>
          <w:color w:val="auto"/>
          <w:sz w:val="32"/>
          <w:szCs w:val="32"/>
          <w:lang w:eastAsia="zh-CN"/>
        </w:rPr>
        <w:t>自然资源局</w:t>
      </w:r>
    </w:p>
    <w:p w14:paraId="5B7E5A3D">
      <w:pPr>
        <w:pStyle w:val="5"/>
        <w:widowControl w:val="0"/>
        <w:kinsoku/>
        <w:topLinePunct/>
        <w:autoSpaceDE/>
        <w:autoSpaceDN/>
        <w:adjustRightInd/>
        <w:snapToGrid/>
        <w:spacing w:line="570" w:lineRule="exact"/>
        <w:ind w:firstLine="640"/>
        <w:jc w:val="both"/>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通讯地址：</w:t>
      </w:r>
      <w:r>
        <w:rPr>
          <w:rFonts w:hint="eastAsia" w:ascii="Times New Roman" w:hAnsi="Times New Roman" w:eastAsia="仿宋_GB2312" w:cs="Times New Roman"/>
          <w:bCs/>
          <w:color w:val="auto"/>
          <w:sz w:val="32"/>
          <w:szCs w:val="32"/>
          <w:lang w:eastAsia="zh-CN"/>
        </w:rPr>
        <w:t>湛江市遂溪县</w:t>
      </w:r>
      <w:r>
        <w:rPr>
          <w:rFonts w:hint="eastAsia" w:ascii="Times New Roman" w:hAnsi="Times New Roman" w:eastAsia="仿宋_GB2312" w:cs="Times New Roman"/>
          <w:bCs/>
          <w:color w:val="auto"/>
          <w:sz w:val="32"/>
          <w:szCs w:val="32"/>
          <w:lang w:val="en-US" w:eastAsia="zh-CN"/>
        </w:rPr>
        <w:t>遂城街道</w:t>
      </w:r>
      <w:r>
        <w:rPr>
          <w:rFonts w:hint="eastAsia" w:ascii="Times New Roman" w:hAnsi="Times New Roman" w:eastAsia="仿宋_GB2312" w:cs="Times New Roman"/>
          <w:bCs/>
          <w:color w:val="auto"/>
          <w:sz w:val="32"/>
          <w:szCs w:val="32"/>
          <w:lang w:eastAsia="zh-CN"/>
        </w:rPr>
        <w:t>新风路90号</w:t>
      </w:r>
    </w:p>
    <w:p w14:paraId="38F2F1A1">
      <w:pPr>
        <w:pStyle w:val="5"/>
        <w:widowControl w:val="0"/>
        <w:kinsoku/>
        <w:topLinePunct/>
        <w:autoSpaceDE/>
        <w:autoSpaceDN/>
        <w:adjustRightInd/>
        <w:snapToGrid/>
        <w:spacing w:line="570" w:lineRule="exact"/>
        <w:ind w:firstLine="640"/>
        <w:jc w:val="both"/>
        <w:rPr>
          <w:rFonts w:ascii="Times New Roman" w:hAnsi="Times New Roman" w:eastAsia="仿宋_GB2312" w:cs="Times New Roman"/>
          <w:bCs/>
          <w:color w:val="auto"/>
          <w:sz w:val="32"/>
          <w:szCs w:val="32"/>
          <w:lang w:eastAsia="zh-CN"/>
        </w:rPr>
      </w:pPr>
      <w:r>
        <w:rPr>
          <w:rFonts w:ascii="Times New Roman" w:hAnsi="Times New Roman" w:eastAsia="仿宋_GB2312" w:cs="Times New Roman"/>
          <w:bCs/>
          <w:color w:val="auto"/>
          <w:sz w:val="32"/>
          <w:szCs w:val="32"/>
          <w:lang w:eastAsia="zh-CN"/>
        </w:rPr>
        <w:t>电话：0759-</w:t>
      </w:r>
      <w:r>
        <w:rPr>
          <w:rFonts w:hint="eastAsia" w:ascii="Times New Roman" w:hAnsi="Times New Roman" w:eastAsia="仿宋_GB2312" w:cs="Times New Roman"/>
          <w:bCs/>
          <w:color w:val="auto"/>
          <w:sz w:val="32"/>
          <w:szCs w:val="32"/>
          <w:lang w:eastAsia="zh-CN"/>
        </w:rPr>
        <w:t>7753320</w:t>
      </w:r>
    </w:p>
    <w:p w14:paraId="10387BB6">
      <w:pPr>
        <w:pStyle w:val="5"/>
        <w:kinsoku/>
        <w:topLinePunct/>
        <w:autoSpaceDE/>
        <w:autoSpaceDN/>
        <w:adjustRightInd/>
        <w:snapToGrid/>
        <w:spacing w:line="570" w:lineRule="exact"/>
        <w:ind w:firstLine="643"/>
        <w:jc w:val="both"/>
        <w:rPr>
          <w:rFonts w:ascii="Times New Roman" w:hAnsi="Times New Roman" w:eastAsia="仿宋_GB2312" w:cs="Times New Roman"/>
          <w:bCs/>
          <w:color w:val="auto"/>
          <w:sz w:val="32"/>
          <w:szCs w:val="32"/>
          <w:lang w:eastAsia="zh-CN"/>
        </w:rPr>
      </w:pPr>
    </w:p>
    <w:p w14:paraId="6F8ACEE3">
      <w:pPr>
        <w:pStyle w:val="5"/>
        <w:kinsoku/>
        <w:topLinePunct/>
        <w:autoSpaceDE/>
        <w:autoSpaceDN/>
        <w:adjustRightInd/>
        <w:snapToGrid/>
        <w:spacing w:line="570" w:lineRule="exact"/>
        <w:ind w:firstLine="643"/>
        <w:jc w:val="both"/>
        <w:rPr>
          <w:rFonts w:ascii="Times New Roman" w:hAnsi="Times New Roman" w:eastAsia="仿宋_GB2312" w:cs="Times New Roman"/>
          <w:bCs/>
          <w:color w:val="auto"/>
          <w:sz w:val="32"/>
          <w:szCs w:val="32"/>
          <w:lang w:eastAsia="zh-CN"/>
        </w:rPr>
      </w:pPr>
    </w:p>
    <w:p w14:paraId="7FA5586C">
      <w:pPr>
        <w:pStyle w:val="5"/>
        <w:kinsoku/>
        <w:topLinePunct/>
        <w:autoSpaceDE/>
        <w:autoSpaceDN/>
        <w:adjustRightInd/>
        <w:snapToGrid/>
        <w:spacing w:line="570" w:lineRule="exact"/>
        <w:ind w:firstLine="643"/>
        <w:jc w:val="both"/>
        <w:rPr>
          <w:rFonts w:ascii="Times New Roman" w:hAnsi="Times New Roman" w:eastAsia="仿宋_GB2312" w:cs="Times New Roman"/>
          <w:bCs/>
          <w:color w:val="auto"/>
          <w:sz w:val="32"/>
          <w:szCs w:val="32"/>
          <w:lang w:eastAsia="zh-CN"/>
        </w:rPr>
      </w:pPr>
    </w:p>
    <w:p w14:paraId="0AB807AA">
      <w:pPr>
        <w:pStyle w:val="5"/>
        <w:kinsoku/>
        <w:topLinePunct/>
        <w:autoSpaceDE/>
        <w:autoSpaceDN/>
        <w:adjustRightInd/>
        <w:snapToGrid/>
        <w:spacing w:line="570" w:lineRule="exact"/>
        <w:ind w:firstLine="643"/>
        <w:jc w:val="both"/>
        <w:rPr>
          <w:rFonts w:ascii="Times New Roman" w:hAnsi="Times New Roman" w:eastAsia="仿宋_GB2312" w:cs="Times New Roman"/>
          <w:bCs/>
          <w:color w:val="auto"/>
          <w:sz w:val="32"/>
          <w:szCs w:val="32"/>
          <w:lang w:eastAsia="zh-CN"/>
        </w:rPr>
      </w:pPr>
    </w:p>
    <w:p w14:paraId="70782FB7">
      <w:pPr>
        <w:pStyle w:val="5"/>
        <w:kinsoku/>
        <w:topLinePunct/>
        <w:autoSpaceDE/>
        <w:autoSpaceDN/>
        <w:adjustRightInd/>
        <w:snapToGrid/>
        <w:spacing w:line="570" w:lineRule="exact"/>
        <w:ind w:firstLine="643"/>
        <w:jc w:val="both"/>
        <w:rPr>
          <w:rFonts w:ascii="Times New Roman" w:hAnsi="Times New Roman" w:eastAsia="仿宋_GB2312" w:cs="Times New Roman"/>
          <w:bCs/>
          <w:color w:val="auto"/>
          <w:sz w:val="32"/>
          <w:szCs w:val="32"/>
          <w:lang w:eastAsia="zh-CN"/>
        </w:rPr>
      </w:pPr>
    </w:p>
    <w:p w14:paraId="3F06D218">
      <w:pPr>
        <w:pStyle w:val="4"/>
        <w:keepNext w:val="0"/>
        <w:keepLines w:val="0"/>
        <w:pageBreakBefore w:val="0"/>
        <w:kinsoku/>
        <w:overflowPunct/>
        <w:topLinePunct/>
        <w:autoSpaceDE/>
        <w:autoSpaceDN/>
        <w:bidi w:val="0"/>
        <w:adjustRightInd/>
        <w:snapToGrid/>
        <w:spacing w:line="570" w:lineRule="exact"/>
        <w:jc w:val="both"/>
        <w:rPr>
          <w:rFonts w:ascii="Times New Roman" w:hAnsi="Times New Roman" w:eastAsia="仿宋_GB2312"/>
          <w:b w:val="0"/>
          <w:bCs/>
          <w:color w:val="FF0000"/>
          <w:sz w:val="32"/>
          <w:szCs w:val="32"/>
          <w:lang w:eastAsia="zh-CN"/>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u w:val="single"/>
        </w:rPr>
        <w:t>C+出让部门行政区划代码+年份+3位顺序码</w:t>
      </w:r>
      <w:r>
        <w:rPr>
          <w:rFonts w:hint="eastAsia" w:ascii="Times New Roman" w:hAnsi="仿宋_GB2312" w:eastAsia="仿宋_GB2312"/>
          <w:b w:val="0"/>
          <w:bCs/>
          <w:color w:val="000000" w:themeColor="text1"/>
          <w:sz w:val="32"/>
          <w:szCs w:val="32"/>
          <w:lang w:eastAsia="zh-CN"/>
          <w14:textFill>
            <w14:solidFill>
              <w14:schemeClr w14:val="tx1"/>
            </w14:solidFill>
          </w14:textFill>
        </w:rPr>
        <w:t>（</w:t>
      </w:r>
      <w:r>
        <w:rPr>
          <w:rFonts w:hint="eastAsia" w:ascii="Times New Roman" w:hAnsi="仿宋_GB2312" w:eastAsia="仿宋_GB2312"/>
          <w:b w:val="0"/>
          <w:bCs/>
          <w:color w:val="000000" w:themeColor="text1"/>
          <w:sz w:val="32"/>
          <w:szCs w:val="32"/>
          <w:lang w:val="en-US" w:eastAsia="zh-CN"/>
          <w14:textFill>
            <w14:solidFill>
              <w14:schemeClr w14:val="tx1"/>
            </w14:solidFill>
          </w14:textFill>
        </w:rPr>
        <w:t>自行编号，正式文中删除</w:t>
      </w:r>
      <w:r>
        <w:rPr>
          <w:rFonts w:hint="eastAsia" w:ascii="Times New Roman" w:hAnsi="仿宋_GB2312" w:eastAsia="仿宋_GB2312"/>
          <w:b w:val="0"/>
          <w:bCs/>
          <w:color w:val="000000" w:themeColor="text1"/>
          <w:sz w:val="32"/>
          <w:szCs w:val="32"/>
          <w:lang w:eastAsia="zh-CN"/>
          <w14:textFill>
            <w14:solidFill>
              <w14:schemeClr w14:val="tx1"/>
            </w14:solidFill>
          </w14:textFill>
        </w:rPr>
        <w:t>）</w:t>
      </w:r>
    </w:p>
    <w:p w14:paraId="3AA7AC6B">
      <w:pPr>
        <w:jc w:val="center"/>
        <w:rPr>
          <w:rFonts w:hint="eastAsia" w:ascii="仿宋_GB2312" w:hAnsi="仿宋_GB2312" w:eastAsia="仿宋_GB2312" w:cs="仿宋_GB2312"/>
          <w:sz w:val="32"/>
          <w:szCs w:val="32"/>
          <w:u w:val="single"/>
        </w:rPr>
      </w:pPr>
    </w:p>
    <w:p w14:paraId="4B5B605F">
      <w:pPr>
        <w:jc w:val="center"/>
        <w:rPr>
          <w:rFonts w:hint="eastAsia" w:ascii="仿宋_GB2312" w:hAnsi="仿宋_GB2312" w:eastAsia="仿宋_GB2312" w:cs="仿宋_GB2312"/>
          <w:sz w:val="32"/>
          <w:szCs w:val="32"/>
        </w:rPr>
      </w:pPr>
    </w:p>
    <w:p w14:paraId="5277664D">
      <w:pPr>
        <w:jc w:val="center"/>
        <w:rPr>
          <w:rFonts w:hint="eastAsia" w:ascii="仿宋_GB2312" w:hAnsi="仿宋_GB2312" w:eastAsia="仿宋_GB2312" w:cs="仿宋_GB2312"/>
          <w:sz w:val="32"/>
          <w:szCs w:val="32"/>
        </w:rPr>
      </w:pPr>
    </w:p>
    <w:p w14:paraId="30FFCF7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广东省遂溪县港门镇北地村矿区建筑用砂矿</w:t>
      </w:r>
      <w:r>
        <w:rPr>
          <w:rFonts w:hint="eastAsia" w:ascii="方正小标宋_GBK" w:hAnsi="方正小标宋_GBK" w:eastAsia="方正小标宋_GBK" w:cs="方正小标宋_GBK"/>
          <w:sz w:val="44"/>
          <w:szCs w:val="44"/>
        </w:rPr>
        <w:t>采</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矿</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权</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出</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让</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合</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同</w:t>
      </w:r>
    </w:p>
    <w:p w14:paraId="2EE82B69">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初稿</w:t>
      </w:r>
      <w:r>
        <w:rPr>
          <w:rFonts w:hint="eastAsia" w:ascii="仿宋_GB2312" w:hAnsi="仿宋_GB2312" w:eastAsia="仿宋_GB2312" w:cs="仿宋_GB2312"/>
          <w:sz w:val="32"/>
          <w:szCs w:val="32"/>
          <w:lang w:eastAsia="zh-CN"/>
        </w:rPr>
        <w:t>）</w:t>
      </w:r>
    </w:p>
    <w:p w14:paraId="7760E765">
      <w:pPr>
        <w:jc w:val="center"/>
        <w:rPr>
          <w:rFonts w:hint="eastAsia" w:ascii="仿宋_GB2312" w:hAnsi="仿宋_GB2312" w:eastAsia="仿宋_GB2312" w:cs="仿宋_GB2312"/>
          <w:sz w:val="32"/>
          <w:szCs w:val="32"/>
        </w:rPr>
      </w:pPr>
    </w:p>
    <w:p w14:paraId="4CCCB897">
      <w:pPr>
        <w:ind w:firstLine="640" w:firstLineChars="200"/>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甲方(出让人):</w:t>
      </w:r>
      <w:r>
        <w:rPr>
          <w:rFonts w:hint="eastAsia" w:ascii="仿宋_GB2312" w:hAnsi="仿宋_GB2312" w:eastAsia="仿宋_GB2312" w:cs="仿宋_GB2312"/>
          <w:sz w:val="32"/>
          <w:szCs w:val="32"/>
          <w:u w:val="single"/>
          <w:lang w:val="en-US" w:eastAsia="zh-CN"/>
        </w:rPr>
        <w:t xml:space="preserve">   遂溪县自然资源局    </w:t>
      </w:r>
      <w:r>
        <w:rPr>
          <w:rFonts w:hint="eastAsia" w:ascii="仿宋_GB2312" w:hAnsi="仿宋_GB2312" w:eastAsia="仿宋_GB2312" w:cs="仿宋_GB2312"/>
          <w:sz w:val="32"/>
          <w:szCs w:val="32"/>
          <w:u w:val="none"/>
          <w:lang w:val="en-US" w:eastAsia="zh-CN"/>
        </w:rPr>
        <w:t xml:space="preserve">          </w:t>
      </w:r>
    </w:p>
    <w:p w14:paraId="2978E617">
      <w:pPr>
        <w:ind w:firstLine="640" w:firstLineChars="2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住</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所</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  遂溪县遂城街道新风路90号</w:t>
      </w:r>
      <w:r>
        <w:rPr>
          <w:rFonts w:hint="eastAsia" w:ascii="仿宋_GB2312" w:hAnsi="仿宋_GB2312" w:eastAsia="仿宋_GB2312" w:cs="仿宋_GB2312"/>
          <w:sz w:val="32"/>
          <w:szCs w:val="32"/>
          <w:u w:val="none"/>
          <w:lang w:val="en-US" w:eastAsia="zh-CN"/>
        </w:rPr>
        <w:t xml:space="preserve"> </w:t>
      </w:r>
    </w:p>
    <w:p w14:paraId="38F5F5CA">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lang w:val="en-US" w:eastAsia="zh-CN"/>
        </w:rPr>
        <w:t xml:space="preserve">     罗明秋                </w:t>
      </w:r>
    </w:p>
    <w:p w14:paraId="0C96CB3A">
      <w:pPr>
        <w:jc w:val="left"/>
        <w:rPr>
          <w:rFonts w:hint="eastAsia" w:ascii="仿宋_GB2312" w:hAnsi="仿宋_GB2312" w:eastAsia="仿宋_GB2312" w:cs="仿宋_GB2312"/>
          <w:sz w:val="32"/>
          <w:szCs w:val="32"/>
        </w:rPr>
      </w:pPr>
    </w:p>
    <w:p w14:paraId="63E70728">
      <w:pPr>
        <w:jc w:val="left"/>
        <w:rPr>
          <w:rFonts w:hint="eastAsia" w:ascii="仿宋_GB2312" w:hAnsi="仿宋_GB2312" w:eastAsia="仿宋_GB2312" w:cs="仿宋_GB2312"/>
          <w:sz w:val="32"/>
          <w:szCs w:val="32"/>
        </w:rPr>
      </w:pPr>
    </w:p>
    <w:p w14:paraId="3F9AD2FF">
      <w:pPr>
        <w:jc w:val="left"/>
        <w:rPr>
          <w:rFonts w:hint="eastAsia" w:ascii="仿宋_GB2312" w:hAnsi="仿宋_GB2312" w:eastAsia="仿宋_GB2312" w:cs="仿宋_GB2312"/>
          <w:sz w:val="32"/>
          <w:szCs w:val="32"/>
        </w:rPr>
      </w:pPr>
    </w:p>
    <w:p w14:paraId="59102DA9">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乙方(受让人):</w:t>
      </w:r>
      <w:r>
        <w:rPr>
          <w:rFonts w:hint="eastAsia" w:ascii="仿宋_GB2312" w:hAnsi="仿宋_GB2312" w:eastAsia="仿宋_GB2312" w:cs="仿宋_GB2312"/>
          <w:sz w:val="32"/>
          <w:szCs w:val="32"/>
          <w:u w:val="single"/>
          <w:lang w:val="en-US" w:eastAsia="zh-CN"/>
        </w:rPr>
        <w:t xml:space="preserve">                       </w:t>
      </w:r>
    </w:p>
    <w:p w14:paraId="16F4230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p>
    <w:p w14:paraId="362A0DC5">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u w:val="single"/>
          <w:lang w:val="en-US" w:eastAsia="zh-CN"/>
        </w:rPr>
        <w:t xml:space="preserve">                          </w:t>
      </w:r>
    </w:p>
    <w:p w14:paraId="3CF4C7E9">
      <w:pPr>
        <w:ind w:firstLine="640" w:firstLineChars="2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lang w:val="en-US" w:eastAsia="zh-CN"/>
        </w:rPr>
        <w:t xml:space="preserve">                         </w:t>
      </w:r>
    </w:p>
    <w:p w14:paraId="0587A6E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根据《中华人民共和国矿产资源法》《矿业权出让收益征收办法》等相关规定，甲乙双方经协商一致订立本合同。</w:t>
      </w:r>
    </w:p>
    <w:p w14:paraId="3CE999BD">
      <w:pPr>
        <w:keepNext w:val="0"/>
        <w:keepLines w:val="0"/>
        <w:pageBreakBefore w:val="0"/>
        <w:overflowPunct/>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w:t>
      </w:r>
      <w:r>
        <w:rPr>
          <w:rFonts w:hint="eastAsia" w:ascii="黑体" w:hAnsi="黑体" w:eastAsia="黑体" w:cs="黑体"/>
          <w:b w:val="0"/>
          <w:bCs w:val="0"/>
          <w:sz w:val="32"/>
          <w:szCs w:val="32"/>
        </w:rPr>
        <w:t>采矿权基本情况</w:t>
      </w:r>
    </w:p>
    <w:p w14:paraId="34DFBD0E">
      <w:pPr>
        <w:keepNext w:val="0"/>
        <w:keepLines w:val="0"/>
        <w:pageBreakBefore w:val="0"/>
        <w:overflowPunct/>
        <w:bidi w:val="0"/>
        <w:adjustRightInd w:val="0"/>
        <w:snapToGrid w:val="0"/>
        <w:spacing w:line="540" w:lineRule="exact"/>
        <w:ind w:firstLine="640" w:firstLineChars="200"/>
        <w:textAlignment w:val="baseline"/>
        <w:rPr>
          <w:rFonts w:hint="default"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z w:val="32"/>
          <w:szCs w:val="32"/>
        </w:rPr>
        <w:t>(一)矿山名称:</w:t>
      </w:r>
      <w:r>
        <w:rPr>
          <w:rFonts w:hint="eastAsia" w:ascii="仿宋_GB2312" w:hAnsi="仿宋_GB2312" w:eastAsia="仿宋_GB2312" w:cs="仿宋_GB2312"/>
          <w:strike w:val="0"/>
          <w:dstrike w:val="0"/>
          <w:sz w:val="32"/>
          <w:szCs w:val="32"/>
          <w:u w:val="none"/>
          <w:lang w:val="en-US" w:eastAsia="zh-CN"/>
        </w:rPr>
        <w:t xml:space="preserve"> 广东省遂溪县港门镇北地村矿区建筑用砂矿                               </w:t>
      </w:r>
    </w:p>
    <w:p w14:paraId="18C03D1C">
      <w:pPr>
        <w:keepNext w:val="0"/>
        <w:keepLines w:val="0"/>
        <w:pageBreakBefore w:val="0"/>
        <w:overflowPunct/>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(二)开采</w:t>
      </w:r>
      <w:r>
        <w:rPr>
          <w:rFonts w:hint="eastAsia" w:ascii="仿宋_GB2312" w:hAnsi="仿宋_GB2312" w:eastAsia="仿宋_GB2312" w:cs="仿宋_GB2312"/>
          <w:sz w:val="32"/>
          <w:szCs w:val="32"/>
          <w:lang w:val="en-US" w:eastAsia="zh-CN"/>
        </w:rPr>
        <w:t>主</w:t>
      </w:r>
      <w:r>
        <w:rPr>
          <w:rFonts w:hint="eastAsia" w:ascii="仿宋_GB2312" w:hAnsi="仿宋_GB2312" w:eastAsia="仿宋_GB2312" w:cs="仿宋_GB2312"/>
          <w:sz w:val="32"/>
          <w:szCs w:val="32"/>
        </w:rPr>
        <w:t>矿种:</w:t>
      </w:r>
      <w:r>
        <w:rPr>
          <w:rFonts w:hint="eastAsia" w:ascii="仿宋_GB2312" w:hAnsi="仿宋_GB2312" w:eastAsia="仿宋_GB2312" w:cs="仿宋_GB2312"/>
          <w:sz w:val="32"/>
          <w:szCs w:val="32"/>
          <w:u w:val="none"/>
          <w:lang w:val="en-US" w:eastAsia="zh-CN"/>
        </w:rPr>
        <w:t xml:space="preserve">建筑用砂   </w:t>
      </w:r>
    </w:p>
    <w:p w14:paraId="33F598F6">
      <w:pPr>
        <w:keepNext w:val="0"/>
        <w:keepLines w:val="0"/>
        <w:pageBreakBefore w:val="0"/>
        <w:widowControl w:val="0"/>
        <w:kinsoku/>
        <w:wordWrap w:val="0"/>
        <w:overflowPunct/>
        <w:topLinePunct/>
        <w:autoSpaceDE/>
        <w:autoSpaceDN/>
        <w:bidi w:val="0"/>
        <w:adjustRightInd w:val="0"/>
        <w:snapToGrid w:val="0"/>
        <w:spacing w:line="540" w:lineRule="exact"/>
        <w:ind w:firstLine="640" w:firstLineChars="200"/>
        <w:textAlignment w:val="baseline"/>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sz w:val="32"/>
          <w:szCs w:val="32"/>
        </w:rPr>
        <w:t>(三)地理位置(所在行政区域)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32"/>
          <w:sz w:val="32"/>
          <w:szCs w:val="32"/>
          <w:lang w:val="en-US" w:eastAsia="zh-CN"/>
        </w:rPr>
        <w:t xml:space="preserve">矿区位于广东省遂溪县县城 242º方向，直距约 50km 处，行政区划隶属遂溪县港门镇管辖。矿区中心地理坐标：东经 109°49′27″，北纬 21°10′14″。   </w:t>
      </w:r>
      <w:r>
        <w:rPr>
          <w:rFonts w:hint="eastAsia" w:ascii="仿宋_GB2312" w:hAnsi="仿宋_GB2312" w:eastAsia="仿宋_GB2312" w:cs="仿宋_GB2312"/>
          <w:sz w:val="32"/>
          <w:szCs w:val="32"/>
        </w:rPr>
        <w:t>(四)资源量/探明地质储量:</w:t>
      </w:r>
      <w:r>
        <w:rPr>
          <w:rFonts w:hint="eastAsia" w:ascii="仿宋_GB2312" w:hAnsi="仿宋_GB2312" w:eastAsia="仿宋_GB2312" w:cs="仿宋_GB2312"/>
          <w:bCs/>
          <w:color w:val="auto"/>
          <w:kern w:val="32"/>
          <w:sz w:val="32"/>
          <w:szCs w:val="32"/>
          <w:lang w:val="en-US" w:eastAsia="zh-CN"/>
        </w:rPr>
        <w:t>1.根据《</w:t>
      </w:r>
      <w:r>
        <w:rPr>
          <w:rFonts w:hint="eastAsia" w:ascii="仿宋_GB2312" w:hAnsi="仿宋_GB2312" w:eastAsia="仿宋_GB2312" w:cs="仿宋_GB2312"/>
          <w:color w:val="auto"/>
          <w:kern w:val="32"/>
          <w:sz w:val="32"/>
          <w:szCs w:val="32"/>
          <w:lang w:eastAsia="zh-CN"/>
        </w:rPr>
        <w:t>广东省遂溪县</w:t>
      </w:r>
      <w:r>
        <w:rPr>
          <w:rFonts w:hint="eastAsia" w:ascii="仿宋_GB2312" w:hAnsi="仿宋_GB2312" w:eastAsia="仿宋_GB2312" w:cs="仿宋_GB2312"/>
          <w:color w:val="auto"/>
          <w:kern w:val="32"/>
          <w:sz w:val="32"/>
          <w:szCs w:val="32"/>
          <w:lang w:val="en-US" w:eastAsia="zh-CN"/>
        </w:rPr>
        <w:t>港门</w:t>
      </w:r>
      <w:r>
        <w:rPr>
          <w:rFonts w:hint="eastAsia" w:ascii="仿宋_GB2312" w:hAnsi="仿宋_GB2312" w:eastAsia="仿宋_GB2312" w:cs="仿宋_GB2312"/>
          <w:color w:val="auto"/>
          <w:kern w:val="32"/>
          <w:sz w:val="32"/>
          <w:szCs w:val="32"/>
          <w:lang w:eastAsia="zh-CN"/>
        </w:rPr>
        <w:t>镇</w:t>
      </w:r>
      <w:r>
        <w:rPr>
          <w:rFonts w:hint="eastAsia" w:ascii="仿宋_GB2312" w:hAnsi="仿宋_GB2312" w:eastAsia="仿宋_GB2312" w:cs="仿宋_GB2312"/>
          <w:color w:val="auto"/>
          <w:kern w:val="32"/>
          <w:sz w:val="32"/>
          <w:szCs w:val="32"/>
          <w:lang w:val="en-US" w:eastAsia="zh-CN"/>
        </w:rPr>
        <w:t>北地村</w:t>
      </w:r>
      <w:r>
        <w:rPr>
          <w:rFonts w:hint="eastAsia" w:ascii="仿宋_GB2312" w:hAnsi="仿宋_GB2312" w:eastAsia="仿宋_GB2312" w:cs="仿宋_GB2312"/>
          <w:color w:val="auto"/>
          <w:kern w:val="32"/>
          <w:sz w:val="32"/>
          <w:szCs w:val="32"/>
          <w:lang w:eastAsia="zh-CN"/>
        </w:rPr>
        <w:t>矿区</w:t>
      </w:r>
      <w:r>
        <w:rPr>
          <w:rFonts w:hint="eastAsia" w:ascii="仿宋_GB2312" w:hAnsi="仿宋_GB2312" w:eastAsia="仿宋_GB2312" w:cs="仿宋_GB2312"/>
          <w:color w:val="auto"/>
          <w:kern w:val="32"/>
          <w:sz w:val="32"/>
          <w:szCs w:val="32"/>
          <w:lang w:val="en-US" w:eastAsia="zh-CN"/>
        </w:rPr>
        <w:t>建筑用砂</w:t>
      </w:r>
      <w:r>
        <w:rPr>
          <w:rFonts w:hint="eastAsia" w:ascii="仿宋_GB2312" w:hAnsi="仿宋_GB2312" w:eastAsia="仿宋_GB2312" w:cs="仿宋_GB2312"/>
          <w:color w:val="auto"/>
          <w:kern w:val="32"/>
          <w:sz w:val="32"/>
          <w:szCs w:val="32"/>
          <w:lang w:eastAsia="zh-CN"/>
        </w:rPr>
        <w:t>矿</w:t>
      </w:r>
      <w:r>
        <w:rPr>
          <w:rFonts w:hint="eastAsia" w:ascii="仿宋_GB2312" w:hAnsi="仿宋_GB2312" w:eastAsia="仿宋_GB2312" w:cs="仿宋_GB2312"/>
          <w:color w:val="auto"/>
          <w:kern w:val="32"/>
          <w:sz w:val="32"/>
          <w:szCs w:val="32"/>
          <w:lang w:val="en-US" w:eastAsia="zh-CN"/>
        </w:rPr>
        <w:t>资源储量核实报告</w:t>
      </w:r>
      <w:r>
        <w:rPr>
          <w:rFonts w:hint="eastAsia" w:ascii="仿宋_GB2312" w:hAnsi="仿宋_GB2312" w:eastAsia="仿宋_GB2312" w:cs="仿宋_GB2312"/>
          <w:bCs/>
          <w:color w:val="auto"/>
          <w:kern w:val="32"/>
          <w:sz w:val="32"/>
          <w:szCs w:val="32"/>
          <w:lang w:val="en-US" w:eastAsia="zh-CN"/>
        </w:rPr>
        <w:t>矿产资源储量评审意见书》（粤资储评审字[2025]91号），截止2025年5月31日，</w:t>
      </w:r>
      <w:r>
        <w:rPr>
          <w:rFonts w:hint="eastAsia" w:ascii="仿宋_GB2312" w:hAnsi="仿宋_GB2312" w:eastAsia="仿宋_GB2312" w:cs="仿宋_GB2312"/>
          <w:color w:val="auto"/>
          <w:kern w:val="32"/>
          <w:sz w:val="32"/>
          <w:szCs w:val="32"/>
          <w:lang w:eastAsia="zh-CN"/>
        </w:rPr>
        <w:t>矿区范围内累计查明</w:t>
      </w:r>
      <w:r>
        <w:rPr>
          <w:rFonts w:hint="eastAsia" w:ascii="仿宋_GB2312" w:hAnsi="仿宋_GB2312" w:eastAsia="仿宋_GB2312" w:cs="仿宋_GB2312"/>
          <w:color w:val="auto"/>
          <w:kern w:val="32"/>
          <w:sz w:val="32"/>
          <w:szCs w:val="32"/>
          <w:lang w:val="en-US" w:eastAsia="zh-CN"/>
        </w:rPr>
        <w:t>建筑用</w:t>
      </w:r>
      <w:r>
        <w:rPr>
          <w:rFonts w:hint="eastAsia" w:ascii="仿宋_GB2312" w:hAnsi="仿宋_GB2312" w:eastAsia="仿宋_GB2312" w:cs="仿宋_GB2312"/>
          <w:color w:val="auto"/>
          <w:kern w:val="32"/>
          <w:sz w:val="32"/>
          <w:szCs w:val="32"/>
          <w:lang w:eastAsia="zh-CN"/>
        </w:rPr>
        <w:t>砂矿控制资源量矿石量</w:t>
      </w:r>
      <w:r>
        <w:rPr>
          <w:rFonts w:hint="eastAsia" w:ascii="仿宋_GB2312" w:hAnsi="仿宋_GB2312" w:eastAsia="仿宋_GB2312" w:cs="仿宋_GB2312"/>
          <w:color w:val="auto"/>
          <w:kern w:val="32"/>
          <w:sz w:val="32"/>
          <w:szCs w:val="32"/>
          <w:lang w:val="en-US" w:eastAsia="zh-CN"/>
        </w:rPr>
        <w:t>66.70</w:t>
      </w:r>
      <w:r>
        <w:rPr>
          <w:rFonts w:hint="eastAsia" w:ascii="仿宋_GB2312" w:hAnsi="仿宋_GB2312" w:eastAsia="仿宋_GB2312" w:cs="仿宋_GB2312"/>
          <w:bCs/>
          <w:color w:val="auto"/>
          <w:kern w:val="32"/>
          <w:sz w:val="32"/>
          <w:szCs w:val="32"/>
          <w:lang w:eastAsia="zh-CN"/>
        </w:rPr>
        <w:t>万</w:t>
      </w:r>
      <w:r>
        <w:rPr>
          <w:rFonts w:hint="eastAsia" w:ascii="仿宋_GB2312" w:hAnsi="仿宋_GB2312" w:eastAsia="仿宋_GB2312" w:cs="仿宋_GB2312"/>
          <w:bCs/>
          <w:color w:val="auto"/>
          <w:kern w:val="32"/>
          <w:sz w:val="32"/>
          <w:szCs w:val="32"/>
          <w:lang w:val="en-US" w:eastAsia="zh-CN"/>
        </w:rPr>
        <w:t>立方米</w:t>
      </w:r>
      <w:r>
        <w:rPr>
          <w:rFonts w:hint="eastAsia" w:ascii="仿宋_GB2312" w:hAnsi="仿宋_GB2312" w:eastAsia="仿宋_GB2312" w:cs="仿宋_GB2312"/>
          <w:bCs/>
          <w:color w:val="auto"/>
          <w:kern w:val="32"/>
          <w:sz w:val="32"/>
          <w:szCs w:val="32"/>
          <w:lang w:eastAsia="zh-CN"/>
        </w:rPr>
        <w:t>，</w:t>
      </w:r>
      <w:r>
        <w:rPr>
          <w:rFonts w:hint="eastAsia" w:ascii="仿宋_GB2312" w:hAnsi="仿宋_GB2312" w:eastAsia="仿宋_GB2312" w:cs="仿宋_GB2312"/>
          <w:bCs/>
          <w:color w:val="auto"/>
          <w:kern w:val="32"/>
          <w:sz w:val="32"/>
          <w:szCs w:val="32"/>
          <w:lang w:val="en-US" w:eastAsia="zh-CN"/>
        </w:rPr>
        <w:t>砂量53.07万立</w:t>
      </w:r>
      <w:r>
        <w:rPr>
          <w:rFonts w:hint="eastAsia" w:ascii="仿宋_GB2312" w:hAnsi="仿宋_GB2312" w:eastAsia="仿宋_GB2312" w:cs="仿宋_GB2312"/>
          <w:bCs/>
          <w:color w:val="auto"/>
          <w:spacing w:val="6"/>
          <w:kern w:val="32"/>
          <w:sz w:val="32"/>
          <w:szCs w:val="32"/>
          <w:lang w:val="en-US" w:eastAsia="zh-CN"/>
        </w:rPr>
        <w:t>方米，平均含砂率79.57%；</w:t>
      </w:r>
      <w:r>
        <w:rPr>
          <w:rFonts w:hint="eastAsia" w:ascii="仿宋_GB2312" w:hAnsi="仿宋_GB2312" w:eastAsia="仿宋_GB2312" w:cs="仿宋_GB2312"/>
          <w:bCs/>
          <w:color w:val="auto"/>
          <w:spacing w:val="6"/>
          <w:kern w:val="32"/>
          <w:sz w:val="32"/>
          <w:szCs w:val="32"/>
          <w:lang w:eastAsia="zh-CN"/>
        </w:rPr>
        <w:t>推断资源量矿</w:t>
      </w:r>
      <w:r>
        <w:rPr>
          <w:rFonts w:hint="eastAsia" w:ascii="仿宋_GB2312" w:hAnsi="仿宋_GB2312" w:eastAsia="仿宋_GB2312" w:cs="仿宋_GB2312"/>
          <w:color w:val="auto"/>
          <w:spacing w:val="6"/>
          <w:kern w:val="32"/>
          <w:sz w:val="32"/>
          <w:szCs w:val="32"/>
          <w:lang w:eastAsia="zh-CN"/>
        </w:rPr>
        <w:t>石量</w:t>
      </w:r>
      <w:r>
        <w:rPr>
          <w:rFonts w:hint="eastAsia" w:ascii="仿宋_GB2312" w:hAnsi="仿宋_GB2312" w:eastAsia="仿宋_GB2312" w:cs="仿宋_GB2312"/>
          <w:bCs/>
          <w:color w:val="auto"/>
          <w:kern w:val="32"/>
          <w:sz w:val="32"/>
          <w:szCs w:val="32"/>
          <w:lang w:val="en-US" w:eastAsia="zh-CN"/>
        </w:rPr>
        <w:t>50.70</w:t>
      </w:r>
      <w:r>
        <w:rPr>
          <w:rFonts w:hint="eastAsia" w:ascii="仿宋_GB2312" w:hAnsi="仿宋_GB2312" w:eastAsia="仿宋_GB2312" w:cs="仿宋_GB2312"/>
          <w:bCs/>
          <w:color w:val="auto"/>
          <w:kern w:val="32"/>
          <w:sz w:val="32"/>
          <w:szCs w:val="32"/>
          <w:lang w:eastAsia="zh-CN"/>
        </w:rPr>
        <w:t>万</w:t>
      </w:r>
      <w:r>
        <w:rPr>
          <w:rFonts w:hint="eastAsia" w:ascii="仿宋_GB2312" w:hAnsi="仿宋_GB2312" w:eastAsia="仿宋_GB2312" w:cs="仿宋_GB2312"/>
          <w:bCs/>
          <w:color w:val="auto"/>
          <w:kern w:val="32"/>
          <w:sz w:val="32"/>
          <w:szCs w:val="32"/>
          <w:lang w:val="en-US" w:eastAsia="zh-CN"/>
        </w:rPr>
        <w:t>立方米</w:t>
      </w:r>
      <w:r>
        <w:rPr>
          <w:rFonts w:hint="eastAsia" w:ascii="仿宋_GB2312" w:hAnsi="仿宋_GB2312" w:eastAsia="仿宋_GB2312" w:cs="仿宋_GB2312"/>
          <w:bCs/>
          <w:color w:val="auto"/>
          <w:kern w:val="32"/>
          <w:sz w:val="32"/>
          <w:szCs w:val="32"/>
          <w:lang w:eastAsia="zh-CN"/>
        </w:rPr>
        <w:t>，</w:t>
      </w:r>
      <w:r>
        <w:rPr>
          <w:rFonts w:hint="eastAsia" w:ascii="仿宋_GB2312" w:hAnsi="仿宋_GB2312" w:eastAsia="仿宋_GB2312" w:cs="仿宋_GB2312"/>
          <w:bCs/>
          <w:color w:val="auto"/>
          <w:kern w:val="32"/>
          <w:sz w:val="32"/>
          <w:szCs w:val="32"/>
          <w:lang w:val="en-US" w:eastAsia="zh-CN"/>
        </w:rPr>
        <w:t>砂量41.01万立方米</w:t>
      </w:r>
      <w:r>
        <w:rPr>
          <w:rFonts w:hint="eastAsia" w:ascii="仿宋_GB2312" w:hAnsi="仿宋_GB2312" w:eastAsia="仿宋_GB2312" w:cs="仿宋_GB2312"/>
          <w:bCs/>
          <w:color w:val="auto"/>
          <w:kern w:val="32"/>
          <w:sz w:val="32"/>
          <w:szCs w:val="32"/>
          <w:lang w:eastAsia="zh-CN"/>
        </w:rPr>
        <w:t>，</w:t>
      </w:r>
      <w:r>
        <w:rPr>
          <w:rFonts w:hint="eastAsia" w:ascii="仿宋_GB2312" w:hAnsi="仿宋_GB2312" w:eastAsia="仿宋_GB2312" w:cs="仿宋_GB2312"/>
          <w:bCs/>
          <w:color w:val="auto"/>
          <w:kern w:val="32"/>
          <w:sz w:val="32"/>
          <w:szCs w:val="32"/>
          <w:lang w:val="en-US" w:eastAsia="zh-CN"/>
        </w:rPr>
        <w:t>平均含砂率80.88%；矿床平均含砂率80.14%。</w:t>
      </w:r>
    </w:p>
    <w:p w14:paraId="418B67CF">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640" w:firstLineChars="200"/>
        <w:jc w:val="both"/>
        <w:textAlignment w:val="baseline"/>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bCs/>
          <w:color w:val="auto"/>
          <w:kern w:val="32"/>
          <w:sz w:val="32"/>
          <w:szCs w:val="32"/>
          <w:lang w:val="en-US" w:eastAsia="zh-CN"/>
        </w:rPr>
        <w:t>覆盖层67.39万立方米（上部覆盖层66.76万立方米、夹石0.63万立方米）</w:t>
      </w:r>
      <w:r>
        <w:rPr>
          <w:rFonts w:hint="eastAsia" w:ascii="仿宋_GB2312" w:hAnsi="仿宋_GB2312" w:eastAsia="仿宋_GB2312" w:cs="仿宋_GB2312"/>
          <w:bCs/>
          <w:color w:val="auto"/>
          <w:kern w:val="32"/>
          <w:sz w:val="32"/>
          <w:szCs w:val="32"/>
          <w:lang w:eastAsia="zh-CN"/>
        </w:rPr>
        <w:t>，剥采比为</w:t>
      </w:r>
      <w:r>
        <w:rPr>
          <w:rFonts w:hint="eastAsia" w:ascii="仿宋_GB2312" w:hAnsi="仿宋_GB2312" w:eastAsia="仿宋_GB2312" w:cs="仿宋_GB2312"/>
          <w:bCs/>
          <w:color w:val="auto"/>
          <w:kern w:val="32"/>
          <w:sz w:val="32"/>
          <w:szCs w:val="32"/>
          <w:lang w:val="en-US" w:eastAsia="zh-CN"/>
        </w:rPr>
        <w:t>0.57</w:t>
      </w:r>
      <w:r>
        <w:rPr>
          <w:rFonts w:hint="eastAsia" w:ascii="仿宋_GB2312" w:hAnsi="仿宋_GB2312" w:eastAsia="仿宋_GB2312" w:cs="仿宋_GB2312"/>
          <w:bCs/>
          <w:color w:val="auto"/>
          <w:kern w:val="32"/>
          <w:sz w:val="32"/>
          <w:szCs w:val="32"/>
          <w:lang w:eastAsia="zh-CN"/>
        </w:rPr>
        <w:t>:1。</w:t>
      </w:r>
    </w:p>
    <w:p w14:paraId="0206416C">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640" w:firstLineChars="200"/>
        <w:jc w:val="both"/>
        <w:textAlignment w:val="baseline"/>
        <w:rPr>
          <w:rFonts w:ascii="仿宋_GB2312" w:hAnsi="仿宋_GB2312" w:eastAsia="仿宋_GB2312" w:cs="仿宋_GB2312"/>
          <w:color w:val="F79646"/>
          <w:kern w:val="32"/>
          <w:sz w:val="32"/>
          <w:szCs w:val="32"/>
          <w:lang w:eastAsia="zh-CN"/>
        </w:rPr>
      </w:pPr>
      <w:r>
        <w:rPr>
          <w:rFonts w:hint="eastAsia" w:ascii="仿宋_GB2312" w:hAnsi="仿宋_GB2312" w:eastAsia="仿宋_GB2312" w:cs="仿宋_GB2312"/>
          <w:bCs/>
          <w:color w:val="auto"/>
          <w:kern w:val="32"/>
          <w:sz w:val="32"/>
          <w:szCs w:val="32"/>
          <w:lang w:val="en-US" w:eastAsia="zh-CN"/>
        </w:rPr>
        <w:t>2.</w:t>
      </w:r>
      <w:r>
        <w:rPr>
          <w:rFonts w:hint="eastAsia" w:ascii="仿宋_GB2312" w:hAnsi="仿宋_GB2312" w:eastAsia="仿宋_GB2312" w:cs="仿宋_GB2312"/>
          <w:bCs/>
          <w:color w:val="auto"/>
          <w:kern w:val="32"/>
          <w:sz w:val="32"/>
          <w:szCs w:val="32"/>
          <w:lang w:eastAsia="zh-CN"/>
        </w:rPr>
        <w:t>设计利用的矿产资源储量：</w:t>
      </w:r>
      <w:r>
        <w:rPr>
          <w:rFonts w:hint="eastAsia" w:ascii="仿宋_GB2312" w:hAnsi="仿宋_GB2312" w:eastAsia="仿宋_GB2312" w:cs="仿宋_GB2312"/>
          <w:color w:val="auto"/>
          <w:kern w:val="32"/>
          <w:sz w:val="32"/>
          <w:szCs w:val="32"/>
          <w:lang w:eastAsia="zh-CN"/>
        </w:rPr>
        <w:t>根据《广东省遂溪县</w:t>
      </w:r>
      <w:r>
        <w:rPr>
          <w:rFonts w:hint="eastAsia" w:ascii="仿宋_GB2312" w:hAnsi="仿宋_GB2312" w:eastAsia="仿宋_GB2312" w:cs="仿宋_GB2312"/>
          <w:color w:val="auto"/>
          <w:kern w:val="32"/>
          <w:sz w:val="32"/>
          <w:szCs w:val="32"/>
          <w:lang w:val="en-US" w:eastAsia="zh-CN"/>
        </w:rPr>
        <w:t>港门</w:t>
      </w:r>
      <w:r>
        <w:rPr>
          <w:rFonts w:hint="eastAsia" w:ascii="仿宋_GB2312" w:hAnsi="仿宋_GB2312" w:eastAsia="仿宋_GB2312" w:cs="仿宋_GB2312"/>
          <w:color w:val="auto"/>
          <w:kern w:val="32"/>
          <w:sz w:val="32"/>
          <w:szCs w:val="32"/>
          <w:lang w:eastAsia="zh-CN"/>
        </w:rPr>
        <w:t>镇</w:t>
      </w:r>
      <w:r>
        <w:rPr>
          <w:rFonts w:hint="eastAsia" w:ascii="仿宋_GB2312" w:hAnsi="仿宋_GB2312" w:eastAsia="仿宋_GB2312" w:cs="仿宋_GB2312"/>
          <w:color w:val="auto"/>
          <w:kern w:val="32"/>
          <w:sz w:val="32"/>
          <w:szCs w:val="32"/>
          <w:lang w:val="en-US" w:eastAsia="zh-CN"/>
        </w:rPr>
        <w:t>北地村</w:t>
      </w:r>
      <w:r>
        <w:rPr>
          <w:rFonts w:hint="eastAsia" w:ascii="仿宋_GB2312" w:hAnsi="仿宋_GB2312" w:eastAsia="仿宋_GB2312" w:cs="仿宋_GB2312"/>
          <w:color w:val="auto"/>
          <w:kern w:val="32"/>
          <w:sz w:val="32"/>
          <w:szCs w:val="32"/>
          <w:lang w:eastAsia="zh-CN"/>
        </w:rPr>
        <w:t>矿区</w:t>
      </w:r>
      <w:r>
        <w:rPr>
          <w:rFonts w:hint="eastAsia" w:ascii="仿宋_GB2312" w:hAnsi="仿宋_GB2312" w:eastAsia="仿宋_GB2312" w:cs="仿宋_GB2312"/>
          <w:color w:val="auto"/>
          <w:kern w:val="32"/>
          <w:sz w:val="32"/>
          <w:szCs w:val="32"/>
          <w:lang w:val="en-US" w:eastAsia="zh-CN"/>
        </w:rPr>
        <w:t>建筑用砂</w:t>
      </w:r>
      <w:r>
        <w:rPr>
          <w:rFonts w:hint="eastAsia" w:ascii="仿宋_GB2312" w:hAnsi="仿宋_GB2312" w:eastAsia="仿宋_GB2312" w:cs="仿宋_GB2312"/>
          <w:color w:val="auto"/>
          <w:kern w:val="32"/>
          <w:sz w:val="32"/>
          <w:szCs w:val="32"/>
          <w:lang w:eastAsia="zh-CN"/>
        </w:rPr>
        <w:t>矿矿产资源开发利用</w:t>
      </w:r>
      <w:r>
        <w:rPr>
          <w:rFonts w:hint="eastAsia" w:ascii="仿宋_GB2312" w:hAnsi="仿宋_GB2312" w:eastAsia="仿宋_GB2312" w:cs="仿宋_GB2312"/>
          <w:color w:val="auto"/>
          <w:spacing w:val="6"/>
          <w:kern w:val="32"/>
          <w:sz w:val="32"/>
          <w:szCs w:val="32"/>
          <w:lang w:eastAsia="zh-CN"/>
        </w:rPr>
        <w:t>方审查意见书》（湛矿开审字[202</w:t>
      </w:r>
      <w:r>
        <w:rPr>
          <w:rFonts w:hint="eastAsia" w:ascii="仿宋_GB2312" w:hAnsi="仿宋_GB2312" w:eastAsia="仿宋_GB2312" w:cs="仿宋_GB2312"/>
          <w:color w:val="auto"/>
          <w:spacing w:val="6"/>
          <w:kern w:val="32"/>
          <w:sz w:val="32"/>
          <w:szCs w:val="32"/>
          <w:lang w:val="en-US" w:eastAsia="zh-CN"/>
        </w:rPr>
        <w:t>5</w:t>
      </w:r>
      <w:r>
        <w:rPr>
          <w:rFonts w:hint="eastAsia" w:ascii="仿宋_GB2312" w:hAnsi="仿宋_GB2312" w:eastAsia="仿宋_GB2312" w:cs="仿宋_GB2312"/>
          <w:color w:val="auto"/>
          <w:spacing w:val="6"/>
          <w:kern w:val="32"/>
          <w:sz w:val="32"/>
          <w:szCs w:val="32"/>
          <w:lang w:eastAsia="zh-CN"/>
        </w:rPr>
        <w:t>]</w:t>
      </w:r>
      <w:r>
        <w:rPr>
          <w:rFonts w:hint="eastAsia" w:ascii="仿宋_GB2312" w:hAnsi="仿宋_GB2312" w:eastAsia="仿宋_GB2312" w:cs="仿宋_GB2312"/>
          <w:color w:val="auto"/>
          <w:spacing w:val="6"/>
          <w:kern w:val="32"/>
          <w:sz w:val="32"/>
          <w:szCs w:val="32"/>
          <w:lang w:val="en-US" w:eastAsia="zh-CN"/>
        </w:rPr>
        <w:t>6</w:t>
      </w:r>
      <w:r>
        <w:rPr>
          <w:rFonts w:hint="eastAsia" w:ascii="仿宋_GB2312" w:hAnsi="仿宋_GB2312" w:eastAsia="仿宋_GB2312" w:cs="仿宋_GB2312"/>
          <w:color w:val="auto"/>
          <w:spacing w:val="6"/>
          <w:kern w:val="32"/>
          <w:sz w:val="32"/>
          <w:szCs w:val="32"/>
          <w:lang w:eastAsia="zh-CN"/>
        </w:rPr>
        <w:t>号），本矿区内控制和推断资源量可信度系数取</w:t>
      </w:r>
      <w:r>
        <w:rPr>
          <w:rFonts w:hint="eastAsia" w:ascii="仿宋_GB2312" w:hAnsi="仿宋_GB2312" w:eastAsia="仿宋_GB2312" w:cs="仿宋_GB2312"/>
          <w:color w:val="auto"/>
          <w:kern w:val="32"/>
          <w:sz w:val="32"/>
          <w:szCs w:val="32"/>
          <w:lang w:eastAsia="zh-CN"/>
        </w:rPr>
        <w:t>1.0，设计利用的</w:t>
      </w:r>
      <w:r>
        <w:rPr>
          <w:rFonts w:hint="eastAsia" w:ascii="仿宋_GB2312" w:hAnsi="仿宋_GB2312" w:eastAsia="仿宋_GB2312" w:cs="仿宋_GB2312"/>
          <w:color w:val="auto"/>
          <w:kern w:val="32"/>
          <w:sz w:val="32"/>
          <w:szCs w:val="32"/>
          <w:lang w:val="en-US" w:eastAsia="zh-CN"/>
        </w:rPr>
        <w:t>建筑用砂</w:t>
      </w:r>
      <w:r>
        <w:rPr>
          <w:rFonts w:hint="eastAsia" w:ascii="仿宋_GB2312" w:hAnsi="仿宋_GB2312" w:eastAsia="仿宋_GB2312" w:cs="仿宋_GB2312"/>
          <w:color w:val="auto"/>
          <w:kern w:val="32"/>
          <w:sz w:val="32"/>
          <w:szCs w:val="32"/>
          <w:lang w:eastAsia="zh-CN"/>
        </w:rPr>
        <w:t>矿石量</w:t>
      </w:r>
      <w:r>
        <w:rPr>
          <w:rFonts w:hint="eastAsia" w:ascii="仿宋_GB2312" w:hAnsi="仿宋_GB2312" w:eastAsia="仿宋_GB2312" w:cs="仿宋_GB2312"/>
          <w:color w:val="auto"/>
          <w:kern w:val="32"/>
          <w:sz w:val="32"/>
          <w:szCs w:val="32"/>
          <w:lang w:val="en-US" w:eastAsia="zh-CN"/>
        </w:rPr>
        <w:t>117.40</w:t>
      </w:r>
      <w:r>
        <w:rPr>
          <w:rFonts w:hint="eastAsia" w:ascii="仿宋_GB2312" w:hAnsi="仿宋_GB2312" w:eastAsia="仿宋_GB2312" w:cs="仿宋_GB2312"/>
          <w:color w:val="auto"/>
          <w:kern w:val="32"/>
          <w:sz w:val="32"/>
          <w:szCs w:val="32"/>
          <w:lang w:eastAsia="zh-CN"/>
        </w:rPr>
        <w:t>万</w:t>
      </w:r>
      <w:r>
        <w:rPr>
          <w:rFonts w:hint="eastAsia" w:ascii="仿宋_GB2312" w:hAnsi="仿宋_GB2312" w:eastAsia="仿宋_GB2312" w:cs="仿宋_GB2312"/>
          <w:bCs/>
          <w:color w:val="auto"/>
          <w:kern w:val="32"/>
          <w:sz w:val="32"/>
          <w:szCs w:val="32"/>
          <w:lang w:val="en-US" w:eastAsia="zh-CN"/>
        </w:rPr>
        <w:t>立方米</w:t>
      </w:r>
      <w:r>
        <w:rPr>
          <w:rFonts w:hint="eastAsia" w:ascii="仿宋_GB2312" w:hAnsi="仿宋_GB2312" w:eastAsia="仿宋_GB2312" w:cs="仿宋_GB2312"/>
          <w:bCs/>
          <w:color w:val="auto"/>
          <w:kern w:val="32"/>
          <w:sz w:val="32"/>
          <w:szCs w:val="32"/>
          <w:lang w:eastAsia="zh-CN"/>
        </w:rPr>
        <w:t>，</w:t>
      </w:r>
      <w:r>
        <w:rPr>
          <w:rFonts w:hint="eastAsia" w:ascii="仿宋_GB2312" w:hAnsi="仿宋_GB2312" w:eastAsia="仿宋_GB2312" w:cs="仿宋_GB2312"/>
          <w:bCs/>
          <w:color w:val="auto"/>
          <w:kern w:val="32"/>
          <w:sz w:val="32"/>
          <w:szCs w:val="32"/>
          <w:lang w:val="en-US" w:eastAsia="zh-CN"/>
        </w:rPr>
        <w:t>平均含砂率（体积比）80.14%，砂量94.08万立方米。</w:t>
      </w:r>
    </w:p>
    <w:p w14:paraId="4E9DF5ED">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640"/>
        <w:jc w:val="both"/>
        <w:textAlignment w:val="baseline"/>
        <w:rPr>
          <w:rFonts w:hint="eastAsia" w:ascii="仿宋_GB2312" w:hAnsi="仿宋_GB2312" w:eastAsia="仿宋_GB2312" w:cs="仿宋_GB2312"/>
          <w:bCs/>
          <w:color w:val="auto"/>
          <w:kern w:val="32"/>
          <w:sz w:val="32"/>
          <w:szCs w:val="32"/>
          <w:lang w:val="en-US" w:eastAsia="zh-CN"/>
        </w:rPr>
      </w:pPr>
      <w:r>
        <w:rPr>
          <w:rFonts w:hint="eastAsia" w:ascii="仿宋_GB2312" w:hAnsi="仿宋_GB2312" w:eastAsia="仿宋_GB2312" w:cs="仿宋_GB2312"/>
          <w:bCs/>
          <w:color w:val="auto"/>
          <w:spacing w:val="-28"/>
          <w:kern w:val="32"/>
          <w:sz w:val="32"/>
          <w:szCs w:val="32"/>
          <w:lang w:val="en-US" w:eastAsia="zh-CN"/>
        </w:rPr>
        <w:t>矿区内剥离量67.39万立方米，其中上部覆盖层66.76万立方米、</w:t>
      </w:r>
      <w:r>
        <w:rPr>
          <w:rFonts w:hint="eastAsia" w:ascii="仿宋_GB2312" w:hAnsi="仿宋_GB2312" w:eastAsia="仿宋_GB2312" w:cs="仿宋_GB2312"/>
          <w:bCs/>
          <w:color w:val="auto"/>
          <w:kern w:val="32"/>
          <w:sz w:val="32"/>
          <w:szCs w:val="32"/>
          <w:lang w:val="en-US" w:eastAsia="zh-CN"/>
        </w:rPr>
        <w:t>夹石0.63万立方米。</w:t>
      </w:r>
    </w:p>
    <w:p w14:paraId="45811C30">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640" w:firstLineChars="200"/>
        <w:textAlignment w:val="baseline"/>
        <w:rPr>
          <w:rFonts w:hint="eastAsia" w:ascii="仿宋_GB2312" w:hAnsi="仿宋_GB2312" w:eastAsia="仿宋_GB2312" w:cs="仿宋_GB2312"/>
          <w:bCs/>
          <w:color w:val="auto"/>
          <w:kern w:val="32"/>
          <w:sz w:val="32"/>
          <w:szCs w:val="32"/>
          <w:lang w:val="en-US" w:eastAsia="zh-CN"/>
        </w:rPr>
      </w:pPr>
      <w:r>
        <w:rPr>
          <w:rFonts w:hint="eastAsia" w:ascii="仿宋_GB2312" w:hAnsi="仿宋_GB2312" w:eastAsia="仿宋_GB2312" w:cs="仿宋_GB2312"/>
          <w:bCs/>
          <w:color w:val="auto"/>
          <w:kern w:val="32"/>
          <w:sz w:val="32"/>
          <w:szCs w:val="32"/>
          <w:lang w:val="en-US" w:eastAsia="zh-CN"/>
        </w:rPr>
        <w:t>3.拟动用的矿产资源量：</w:t>
      </w:r>
      <w:r>
        <w:rPr>
          <w:rFonts w:hint="eastAsia" w:ascii="仿宋_GB2312" w:hAnsi="仿宋_GB2312" w:eastAsia="仿宋_GB2312" w:cs="仿宋_GB2312"/>
          <w:color w:val="auto"/>
          <w:kern w:val="32"/>
          <w:sz w:val="32"/>
          <w:szCs w:val="32"/>
          <w:lang w:eastAsia="zh-CN"/>
        </w:rPr>
        <w:t>根据《</w:t>
      </w:r>
      <w:r>
        <w:rPr>
          <w:rFonts w:hint="eastAsia" w:ascii="仿宋_GB2312" w:hAnsi="仿宋_GB2312" w:eastAsia="仿宋_GB2312" w:cs="仿宋_GB2312"/>
          <w:color w:val="auto"/>
          <w:kern w:val="32"/>
          <w:sz w:val="32"/>
          <w:szCs w:val="32"/>
          <w:lang w:val="en-US" w:eastAsia="zh-CN"/>
        </w:rPr>
        <w:t>&lt;</w:t>
      </w:r>
      <w:r>
        <w:rPr>
          <w:rFonts w:hint="eastAsia" w:ascii="仿宋_GB2312" w:hAnsi="仿宋_GB2312" w:eastAsia="仿宋_GB2312" w:cs="仿宋_GB2312"/>
          <w:color w:val="auto"/>
          <w:kern w:val="32"/>
          <w:sz w:val="32"/>
          <w:szCs w:val="32"/>
          <w:lang w:eastAsia="zh-CN"/>
        </w:rPr>
        <w:t>广东省遂溪县</w:t>
      </w:r>
      <w:r>
        <w:rPr>
          <w:rFonts w:hint="eastAsia" w:ascii="仿宋_GB2312" w:hAnsi="仿宋_GB2312" w:eastAsia="仿宋_GB2312" w:cs="仿宋_GB2312"/>
          <w:color w:val="auto"/>
          <w:kern w:val="32"/>
          <w:sz w:val="32"/>
          <w:szCs w:val="32"/>
          <w:lang w:val="en-US" w:eastAsia="zh-CN"/>
        </w:rPr>
        <w:t>港门</w:t>
      </w:r>
      <w:r>
        <w:rPr>
          <w:rFonts w:hint="eastAsia" w:ascii="仿宋_GB2312" w:hAnsi="仿宋_GB2312" w:eastAsia="仿宋_GB2312" w:cs="仿宋_GB2312"/>
          <w:color w:val="auto"/>
          <w:kern w:val="32"/>
          <w:sz w:val="32"/>
          <w:szCs w:val="32"/>
          <w:lang w:eastAsia="zh-CN"/>
        </w:rPr>
        <w:t>镇</w:t>
      </w:r>
      <w:r>
        <w:rPr>
          <w:rFonts w:hint="eastAsia" w:ascii="仿宋_GB2312" w:hAnsi="仿宋_GB2312" w:eastAsia="仿宋_GB2312" w:cs="仿宋_GB2312"/>
          <w:color w:val="auto"/>
          <w:kern w:val="32"/>
          <w:sz w:val="32"/>
          <w:szCs w:val="32"/>
          <w:lang w:val="en-US" w:eastAsia="zh-CN"/>
        </w:rPr>
        <w:t>北地村</w:t>
      </w:r>
      <w:r>
        <w:rPr>
          <w:rFonts w:hint="eastAsia" w:ascii="仿宋_GB2312" w:hAnsi="仿宋_GB2312" w:eastAsia="仿宋_GB2312" w:cs="仿宋_GB2312"/>
          <w:color w:val="auto"/>
          <w:kern w:val="32"/>
          <w:sz w:val="32"/>
          <w:szCs w:val="32"/>
          <w:lang w:eastAsia="zh-CN"/>
        </w:rPr>
        <w:t>矿区</w:t>
      </w:r>
      <w:r>
        <w:rPr>
          <w:rFonts w:hint="eastAsia" w:ascii="仿宋_GB2312" w:hAnsi="仿宋_GB2312" w:eastAsia="仿宋_GB2312" w:cs="仿宋_GB2312"/>
          <w:color w:val="auto"/>
          <w:kern w:val="32"/>
          <w:sz w:val="32"/>
          <w:szCs w:val="32"/>
          <w:lang w:val="en-US" w:eastAsia="zh-CN"/>
        </w:rPr>
        <w:t>建筑用砂</w:t>
      </w:r>
      <w:r>
        <w:rPr>
          <w:rFonts w:hint="eastAsia" w:ascii="仿宋_GB2312" w:hAnsi="仿宋_GB2312" w:eastAsia="仿宋_GB2312" w:cs="仿宋_GB2312"/>
          <w:color w:val="auto"/>
          <w:kern w:val="32"/>
          <w:sz w:val="32"/>
          <w:szCs w:val="32"/>
          <w:lang w:eastAsia="zh-CN"/>
        </w:rPr>
        <w:t>矿矿产资源开发利用方案</w:t>
      </w:r>
      <w:r>
        <w:rPr>
          <w:rFonts w:hint="eastAsia" w:ascii="仿宋_GB2312" w:hAnsi="仿宋_GB2312" w:eastAsia="仿宋_GB2312" w:cs="仿宋_GB2312"/>
          <w:color w:val="auto"/>
          <w:kern w:val="32"/>
          <w:sz w:val="32"/>
          <w:szCs w:val="32"/>
          <w:lang w:val="en-US" w:eastAsia="zh-CN"/>
        </w:rPr>
        <w:t>&gt;</w:t>
      </w:r>
      <w:r>
        <w:rPr>
          <w:rFonts w:hint="eastAsia" w:ascii="仿宋_GB2312" w:hAnsi="仿宋_GB2312" w:eastAsia="仿宋_GB2312" w:cs="仿宋_GB2312"/>
          <w:color w:val="auto"/>
          <w:kern w:val="32"/>
          <w:sz w:val="32"/>
          <w:szCs w:val="32"/>
          <w:lang w:eastAsia="zh-CN"/>
        </w:rPr>
        <w:t>审查意见书》（湛矿开审字[202</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lang w:eastAsia="zh-CN"/>
        </w:rPr>
        <w:t>号），</w:t>
      </w:r>
      <w:r>
        <w:rPr>
          <w:rFonts w:hint="eastAsia" w:ascii="仿宋_GB2312" w:hAnsi="仿宋_GB2312" w:eastAsia="仿宋_GB2312" w:cs="仿宋_GB2312"/>
          <w:color w:val="auto"/>
          <w:kern w:val="32"/>
          <w:sz w:val="32"/>
          <w:szCs w:val="32"/>
          <w:lang w:val="en-US" w:eastAsia="zh-CN"/>
        </w:rPr>
        <w:t>按</w:t>
      </w:r>
      <w:r>
        <w:rPr>
          <w:rFonts w:hint="eastAsia" w:ascii="仿宋_GB2312" w:hAnsi="仿宋_GB2312" w:eastAsia="仿宋_GB2312" w:cs="仿宋_GB2312"/>
          <w:bCs/>
          <w:color w:val="auto"/>
          <w:kern w:val="32"/>
          <w:sz w:val="32"/>
          <w:szCs w:val="32"/>
          <w:lang w:val="en-US" w:eastAsia="zh-CN"/>
        </w:rPr>
        <w:t>台阶开采圈定终了境界后，最终矿区开采境界范围内：拟动用的建筑用砂矿石量109.76万立方米，平均含砂率（体积比）80.14%，砂量87.96万立方米；拟动用的总剥离量64.76</w:t>
      </w:r>
      <w:r>
        <w:rPr>
          <w:rFonts w:hint="eastAsia" w:ascii="仿宋_GB2312" w:hAnsi="仿宋_GB2312" w:eastAsia="仿宋_GB2312" w:cs="仿宋_GB2312"/>
          <w:color w:val="auto"/>
          <w:kern w:val="32"/>
          <w:sz w:val="32"/>
          <w:szCs w:val="32"/>
          <w:lang w:eastAsia="zh-CN"/>
        </w:rPr>
        <w:t>万</w:t>
      </w:r>
      <w:r>
        <w:rPr>
          <w:rFonts w:hint="eastAsia" w:ascii="仿宋_GB2312" w:hAnsi="仿宋_GB2312" w:eastAsia="仿宋_GB2312" w:cs="仿宋_GB2312"/>
          <w:bCs/>
          <w:color w:val="auto"/>
          <w:kern w:val="32"/>
          <w:sz w:val="32"/>
          <w:szCs w:val="32"/>
          <w:lang w:val="en-US" w:eastAsia="zh-CN"/>
        </w:rPr>
        <w:t>立方米（可用于矿山自身复垦绿化用土，也可外运用于周边市政园林绿化客土，或大型基建工程场地平整用土）。</w:t>
      </w:r>
    </w:p>
    <w:p w14:paraId="24BF7954">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leftChars="200" w:firstLine="320" w:firstLineChars="100"/>
        <w:textAlignment w:val="baseline"/>
        <w:rPr>
          <w:rFonts w:hint="eastAsia" w:ascii="仿宋_GB2312" w:hAnsi="仿宋_GB2312" w:eastAsia="仿宋_GB2312" w:cs="仿宋_GB2312"/>
          <w:bCs/>
          <w:color w:val="auto"/>
          <w:kern w:val="32"/>
          <w:sz w:val="32"/>
          <w:szCs w:val="32"/>
          <w:lang w:eastAsia="zh-CN"/>
        </w:rPr>
      </w:pPr>
      <w:r>
        <w:rPr>
          <w:rFonts w:hint="eastAsia" w:ascii="仿宋_GB2312" w:hAnsi="仿宋_GB2312" w:eastAsia="仿宋_GB2312" w:cs="仿宋_GB2312"/>
          <w:bCs/>
          <w:color w:val="auto"/>
          <w:kern w:val="32"/>
          <w:sz w:val="32"/>
          <w:szCs w:val="32"/>
          <w:lang w:val="en-US" w:eastAsia="zh-CN"/>
        </w:rPr>
        <w:t>4.</w:t>
      </w:r>
      <w:r>
        <w:rPr>
          <w:rFonts w:hint="eastAsia" w:ascii="仿宋_GB2312" w:hAnsi="仿宋_GB2312" w:eastAsia="仿宋_GB2312" w:cs="仿宋_GB2312"/>
          <w:bCs/>
          <w:color w:val="auto"/>
          <w:kern w:val="32"/>
          <w:sz w:val="32"/>
          <w:szCs w:val="32"/>
          <w:lang w:eastAsia="zh-CN"/>
        </w:rPr>
        <w:t>按可比条件，</w:t>
      </w:r>
      <w:r>
        <w:rPr>
          <w:rFonts w:hint="eastAsia" w:ascii="仿宋_GB2312" w:hAnsi="仿宋_GB2312" w:eastAsia="仿宋_GB2312" w:cs="仿宋_GB2312"/>
          <w:bCs/>
          <w:color w:val="auto"/>
          <w:kern w:val="32"/>
          <w:sz w:val="32"/>
          <w:szCs w:val="32"/>
          <w:lang w:val="en-US" w:eastAsia="zh-CN"/>
        </w:rPr>
        <w:t>建筑用砂</w:t>
      </w:r>
      <w:r>
        <w:rPr>
          <w:rFonts w:hint="eastAsia" w:ascii="仿宋_GB2312" w:hAnsi="仿宋_GB2312" w:eastAsia="仿宋_GB2312" w:cs="仿宋_GB2312"/>
          <w:bCs/>
          <w:color w:val="auto"/>
          <w:kern w:val="32"/>
          <w:sz w:val="32"/>
          <w:szCs w:val="32"/>
          <w:lang w:eastAsia="zh-CN"/>
        </w:rPr>
        <w:t>设计资源利用率</w:t>
      </w:r>
      <w:r>
        <w:rPr>
          <w:rFonts w:hint="eastAsia" w:ascii="仿宋_GB2312" w:hAnsi="仿宋_GB2312" w:eastAsia="仿宋_GB2312" w:cs="仿宋_GB2312"/>
          <w:bCs/>
          <w:color w:val="auto"/>
          <w:kern w:val="32"/>
          <w:sz w:val="32"/>
          <w:szCs w:val="32"/>
          <w:lang w:val="en-US" w:eastAsia="zh-CN"/>
        </w:rPr>
        <w:t>93.5</w:t>
      </w:r>
      <w:r>
        <w:rPr>
          <w:rFonts w:hint="eastAsia" w:ascii="仿宋_GB2312" w:hAnsi="仿宋_GB2312" w:eastAsia="仿宋_GB2312" w:cs="仿宋_GB2312"/>
          <w:bCs/>
          <w:color w:val="auto"/>
          <w:kern w:val="32"/>
          <w:sz w:val="32"/>
          <w:szCs w:val="32"/>
          <w:lang w:eastAsia="zh-CN"/>
        </w:rPr>
        <w:t>%。</w:t>
      </w:r>
    </w:p>
    <w:p w14:paraId="54E369C2">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640" w:firstLineChars="200"/>
        <w:jc w:val="both"/>
        <w:textAlignment w:val="baseline"/>
        <w:rPr>
          <w:rFonts w:hint="eastAsia" w:ascii="仿宋_GB2312" w:hAnsi="仿宋_GB2312" w:eastAsia="仿宋_GB2312" w:cs="仿宋_GB2312"/>
          <w:bCs/>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eastAsia="zh-CN"/>
        </w:rPr>
        <w:t>根据《〈广东省遂溪县</w:t>
      </w:r>
      <w:r>
        <w:rPr>
          <w:rFonts w:hint="eastAsia" w:ascii="仿宋_GB2312" w:hAnsi="仿宋_GB2312" w:eastAsia="仿宋_GB2312" w:cs="仿宋_GB2312"/>
          <w:color w:val="auto"/>
          <w:kern w:val="32"/>
          <w:sz w:val="32"/>
          <w:szCs w:val="32"/>
          <w:lang w:val="en-US" w:eastAsia="zh-CN"/>
        </w:rPr>
        <w:t>港门</w:t>
      </w:r>
      <w:r>
        <w:rPr>
          <w:rFonts w:hint="eastAsia" w:ascii="仿宋_GB2312" w:hAnsi="仿宋_GB2312" w:eastAsia="仿宋_GB2312" w:cs="仿宋_GB2312"/>
          <w:color w:val="auto"/>
          <w:kern w:val="32"/>
          <w:sz w:val="32"/>
          <w:szCs w:val="32"/>
          <w:lang w:eastAsia="zh-CN"/>
        </w:rPr>
        <w:t>镇</w:t>
      </w:r>
      <w:r>
        <w:rPr>
          <w:rFonts w:hint="eastAsia" w:ascii="仿宋_GB2312" w:hAnsi="仿宋_GB2312" w:eastAsia="仿宋_GB2312" w:cs="仿宋_GB2312"/>
          <w:color w:val="auto"/>
          <w:kern w:val="32"/>
          <w:sz w:val="32"/>
          <w:szCs w:val="32"/>
          <w:lang w:val="en-US" w:eastAsia="zh-CN"/>
        </w:rPr>
        <w:t>北地村</w:t>
      </w:r>
      <w:r>
        <w:rPr>
          <w:rFonts w:hint="eastAsia" w:ascii="仿宋_GB2312" w:hAnsi="仿宋_GB2312" w:eastAsia="仿宋_GB2312" w:cs="仿宋_GB2312"/>
          <w:color w:val="auto"/>
          <w:kern w:val="32"/>
          <w:sz w:val="32"/>
          <w:szCs w:val="32"/>
          <w:lang w:eastAsia="zh-CN"/>
        </w:rPr>
        <w:t>矿区</w:t>
      </w:r>
      <w:r>
        <w:rPr>
          <w:rFonts w:hint="eastAsia" w:ascii="仿宋_GB2312" w:hAnsi="仿宋_GB2312" w:eastAsia="仿宋_GB2312" w:cs="仿宋_GB2312"/>
          <w:color w:val="auto"/>
          <w:kern w:val="32"/>
          <w:sz w:val="32"/>
          <w:szCs w:val="32"/>
          <w:lang w:val="en-US" w:eastAsia="zh-CN"/>
        </w:rPr>
        <w:t>建筑用砂</w:t>
      </w:r>
      <w:r>
        <w:rPr>
          <w:rFonts w:hint="eastAsia" w:ascii="仿宋_GB2312" w:hAnsi="仿宋_GB2312" w:eastAsia="仿宋_GB2312" w:cs="仿宋_GB2312"/>
          <w:color w:val="auto"/>
          <w:kern w:val="32"/>
          <w:sz w:val="32"/>
          <w:szCs w:val="32"/>
          <w:lang w:eastAsia="zh-CN"/>
        </w:rPr>
        <w:t>矿矿产资源开发利用方案〉审查意见书》（湛矿开审字[202</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lang w:eastAsia="zh-CN"/>
        </w:rPr>
        <w:t>号），</w:t>
      </w:r>
      <w:r>
        <w:rPr>
          <w:rFonts w:hint="eastAsia" w:ascii="仿宋_GB2312" w:hAnsi="仿宋_GB2312" w:eastAsia="仿宋_GB2312" w:cs="仿宋_GB2312"/>
          <w:color w:val="auto"/>
          <w:spacing w:val="-17"/>
          <w:kern w:val="32"/>
          <w:sz w:val="32"/>
          <w:szCs w:val="32"/>
          <w:lang w:val="en-US" w:eastAsia="zh-CN"/>
        </w:rPr>
        <w:t>可采储量及采出矿石量确定：可采储量矿石量106.47</w:t>
      </w:r>
      <w:r>
        <w:rPr>
          <w:rFonts w:hint="eastAsia" w:ascii="仿宋_GB2312" w:hAnsi="仿宋_GB2312" w:eastAsia="仿宋_GB2312" w:cs="仿宋_GB2312"/>
          <w:bCs/>
          <w:color w:val="auto"/>
          <w:spacing w:val="-17"/>
          <w:kern w:val="32"/>
          <w:sz w:val="32"/>
          <w:szCs w:val="32"/>
          <w:lang w:val="en-US" w:eastAsia="zh-CN"/>
        </w:rPr>
        <w:t>万立方米</w:t>
      </w:r>
      <w:r>
        <w:rPr>
          <w:rFonts w:hint="eastAsia" w:ascii="仿宋_GB2312" w:hAnsi="仿宋_GB2312" w:eastAsia="仿宋_GB2312" w:cs="仿宋_GB2312"/>
          <w:bCs/>
          <w:color w:val="auto"/>
          <w:spacing w:val="11"/>
          <w:kern w:val="32"/>
          <w:sz w:val="32"/>
          <w:szCs w:val="32"/>
          <w:lang w:val="en-US" w:eastAsia="zh-CN"/>
        </w:rPr>
        <w:t>，</w:t>
      </w:r>
      <w:r>
        <w:rPr>
          <w:rFonts w:hint="eastAsia" w:ascii="仿宋_GB2312" w:hAnsi="仿宋_GB2312" w:eastAsia="仿宋_GB2312" w:cs="仿宋_GB2312"/>
          <w:bCs/>
          <w:color w:val="auto"/>
          <w:spacing w:val="6"/>
          <w:kern w:val="32"/>
          <w:sz w:val="32"/>
          <w:szCs w:val="32"/>
          <w:lang w:val="en-US" w:eastAsia="zh-CN"/>
        </w:rPr>
        <w:t>平均含砂率（体积比）80.14%，砂量85.33万立方米；采出矿石量</w:t>
      </w:r>
      <w:r>
        <w:rPr>
          <w:rFonts w:hint="eastAsia" w:ascii="仿宋_GB2312" w:hAnsi="仿宋_GB2312" w:eastAsia="仿宋_GB2312" w:cs="仿宋_GB2312"/>
          <w:bCs/>
          <w:color w:val="auto"/>
          <w:kern w:val="32"/>
          <w:sz w:val="32"/>
          <w:szCs w:val="32"/>
          <w:lang w:val="en-US" w:eastAsia="zh-CN"/>
        </w:rPr>
        <w:t>109.76万立方米，平均含砂率（体积比）80.14%，砂量87.96万立方米。</w:t>
      </w:r>
    </w:p>
    <w:p w14:paraId="07B2FF85">
      <w:pPr>
        <w:pStyle w:val="2"/>
        <w:keepNext w:val="0"/>
        <w:keepLines w:val="0"/>
        <w:pageBreakBefore w:val="0"/>
        <w:numPr>
          <w:ilvl w:val="0"/>
          <w:numId w:val="0"/>
        </w:numPr>
        <w:overflowPunct/>
        <w:bidi w:val="0"/>
        <w:adjustRightInd w:val="0"/>
        <w:snapToGrid w:val="0"/>
        <w:spacing w:line="540" w:lineRule="exact"/>
        <w:ind w:firstLine="640" w:firstLineChars="200"/>
        <w:textAlignment w:val="baseline"/>
        <w:rPr>
          <w:rFonts w:hint="eastAsia" w:ascii="仿宋_GB2312" w:hAnsi="仿宋_GB2312" w:eastAsia="仿宋_GB2312" w:cs="仿宋_GB2312"/>
          <w:bCs/>
          <w:color w:val="auto"/>
          <w:spacing w:val="-17"/>
          <w:kern w:val="32"/>
          <w:sz w:val="32"/>
          <w:szCs w:val="32"/>
          <w:lang w:val="en-US" w:eastAsia="zh-CN"/>
        </w:rPr>
      </w:pPr>
      <w:r>
        <w:rPr>
          <w:rFonts w:hint="eastAsia" w:ascii="仿宋_GB2312" w:hAnsi="仿宋_GB2312" w:eastAsia="仿宋_GB2312" w:cs="仿宋_GB2312"/>
          <w:bCs/>
          <w:color w:val="auto"/>
          <w:kern w:val="32"/>
          <w:sz w:val="32"/>
          <w:szCs w:val="32"/>
          <w:lang w:val="en-US" w:eastAsia="zh-CN"/>
        </w:rPr>
        <w:t>6.根据《广东省遂溪县港门镇北地村矿区建筑用砂矿采矿权出让收益评估报告》（兴地矿评报字﹝2025﹞第097号），建筑用砂评估利用可采储量为</w:t>
      </w:r>
      <w:r>
        <w:rPr>
          <w:rFonts w:hint="eastAsia" w:ascii="仿宋_GB2312" w:hAnsi="仿宋_GB2312" w:eastAsia="仿宋_GB2312" w:cs="仿宋_GB2312"/>
          <w:color w:val="auto"/>
          <w:spacing w:val="-17"/>
          <w:kern w:val="32"/>
          <w:sz w:val="32"/>
          <w:szCs w:val="32"/>
          <w:lang w:val="en-US" w:eastAsia="zh-CN"/>
        </w:rPr>
        <w:t>106.47</w:t>
      </w:r>
      <w:r>
        <w:rPr>
          <w:rFonts w:hint="eastAsia" w:ascii="仿宋_GB2312" w:hAnsi="仿宋_GB2312" w:eastAsia="仿宋_GB2312" w:cs="仿宋_GB2312"/>
          <w:bCs/>
          <w:color w:val="auto"/>
          <w:spacing w:val="-17"/>
          <w:kern w:val="32"/>
          <w:sz w:val="32"/>
          <w:szCs w:val="32"/>
          <w:lang w:val="en-US" w:eastAsia="zh-CN"/>
        </w:rPr>
        <w:t>万立方米，剥离层可利用量为61.86万立方米。</w:t>
      </w:r>
    </w:p>
    <w:p w14:paraId="3BAA4B2A">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640" w:firstLineChars="200"/>
        <w:textAlignment w:val="baseline"/>
        <w:rPr>
          <w:color w:val="auto"/>
          <w:lang w:eastAsia="zh-CN"/>
        </w:rPr>
      </w:pPr>
      <w:r>
        <w:rPr>
          <w:rStyle w:val="16"/>
          <w:rFonts w:hint="eastAsia" w:ascii="仿宋_GB2312" w:hAnsi="仿宋_GB2312" w:eastAsia="仿宋_GB2312" w:cs="仿宋_GB2312"/>
          <w:b w:val="0"/>
          <w:color w:val="auto"/>
          <w:kern w:val="32"/>
          <w:sz w:val="32"/>
          <w:szCs w:val="32"/>
          <w:lang w:val="en-US" w:eastAsia="zh-CN"/>
        </w:rPr>
        <w:t>7.</w:t>
      </w:r>
      <w:r>
        <w:rPr>
          <w:rStyle w:val="16"/>
          <w:rFonts w:hint="default" w:ascii="仿宋_GB2312" w:hAnsi="仿宋_GB2312" w:eastAsia="仿宋_GB2312" w:cs="仿宋_GB2312"/>
          <w:b w:val="0"/>
          <w:color w:val="auto"/>
          <w:kern w:val="32"/>
          <w:sz w:val="32"/>
          <w:szCs w:val="32"/>
          <w:lang w:eastAsia="zh-CN"/>
        </w:rPr>
        <w:t>矿山生产拟设规模</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lang w:val="en-US" w:eastAsia="zh-CN"/>
        </w:rPr>
        <w:t>22</w:t>
      </w:r>
      <w:r>
        <w:rPr>
          <w:rFonts w:hint="eastAsia" w:ascii="仿宋_GB2312" w:hAnsi="仿宋_GB2312" w:eastAsia="仿宋_GB2312" w:cs="仿宋_GB2312"/>
          <w:color w:val="auto"/>
          <w:kern w:val="32"/>
          <w:sz w:val="32"/>
          <w:szCs w:val="32"/>
          <w:lang w:eastAsia="zh-CN"/>
        </w:rPr>
        <w:t>万</w:t>
      </w:r>
      <w:r>
        <w:rPr>
          <w:rFonts w:hint="eastAsia" w:ascii="仿宋_GB2312" w:hAnsi="仿宋_GB2312" w:eastAsia="仿宋_GB2312" w:cs="仿宋_GB2312"/>
          <w:color w:val="auto"/>
          <w:kern w:val="32"/>
          <w:sz w:val="32"/>
          <w:szCs w:val="32"/>
          <w:lang w:val="en-US" w:eastAsia="zh-CN"/>
        </w:rPr>
        <w:t>立方米</w:t>
      </w:r>
      <w:r>
        <w:rPr>
          <w:rFonts w:hint="eastAsia" w:ascii="仿宋_GB2312" w:hAnsi="仿宋_GB2312" w:eastAsia="仿宋_GB2312" w:cs="仿宋_GB2312"/>
          <w:color w:val="auto"/>
          <w:kern w:val="32"/>
          <w:sz w:val="32"/>
          <w:szCs w:val="32"/>
          <w:lang w:eastAsia="zh-CN"/>
        </w:rPr>
        <w:t>/年。</w:t>
      </w:r>
    </w:p>
    <w:p w14:paraId="77C299B5">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640" w:firstLineChars="200"/>
        <w:textAlignment w:val="baseline"/>
        <w:rPr>
          <w:rFonts w:hint="default" w:ascii="仿宋_GB2312" w:hAnsi="仿宋_GB2312" w:eastAsia="仿宋_GB2312" w:cs="仿宋_GB2312"/>
          <w:bCs/>
          <w:color w:val="auto"/>
          <w:spacing w:val="-17"/>
          <w:kern w:val="32"/>
          <w:sz w:val="32"/>
          <w:szCs w:val="32"/>
          <w:lang w:val="en-US" w:eastAsia="zh-CN"/>
        </w:rPr>
      </w:pP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lang w:eastAsia="zh-CN"/>
        </w:rPr>
        <w:t>采矿权出让总服务年限：</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lang w:eastAsia="zh-CN"/>
        </w:rPr>
        <w:t>年（含基建期和闭坑治理期各</w:t>
      </w:r>
      <w:r>
        <w:rPr>
          <w:rFonts w:hint="eastAsia" w:ascii="仿宋_GB2312" w:hAnsi="仿宋_GB2312" w:eastAsia="仿宋_GB2312" w:cs="仿宋_GB2312"/>
          <w:color w:val="auto"/>
          <w:kern w:val="32"/>
          <w:sz w:val="32"/>
          <w:szCs w:val="32"/>
          <w:lang w:val="en-US" w:eastAsia="zh-CN"/>
        </w:rPr>
        <w:t>0.5</w:t>
      </w:r>
      <w:r>
        <w:rPr>
          <w:rFonts w:hint="eastAsia" w:ascii="仿宋_GB2312" w:hAnsi="仿宋_GB2312" w:eastAsia="仿宋_GB2312" w:cs="仿宋_GB2312"/>
          <w:color w:val="auto"/>
          <w:kern w:val="32"/>
          <w:sz w:val="32"/>
          <w:szCs w:val="32"/>
          <w:lang w:eastAsia="zh-CN"/>
        </w:rPr>
        <w:t>年）。</w:t>
      </w:r>
    </w:p>
    <w:p w14:paraId="6EFC39B3">
      <w:pPr>
        <w:keepNext w:val="0"/>
        <w:keepLines w:val="0"/>
        <w:pageBreakBefore w:val="0"/>
        <w:overflowPunct/>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矿区</w:t>
      </w:r>
      <w:r>
        <w:rPr>
          <w:rFonts w:hint="eastAsia" w:ascii="仿宋_GB2312" w:hAnsi="仿宋_GB2312" w:eastAsia="仿宋_GB2312" w:cs="仿宋_GB2312"/>
          <w:sz w:val="32"/>
          <w:szCs w:val="32"/>
          <w:u w:val="none"/>
          <w:lang w:val="en-US" w:eastAsia="zh-CN"/>
        </w:rPr>
        <w:t>面积约</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sz w:val="32"/>
          <w:szCs w:val="32"/>
          <w:lang w:val="en-US" w:eastAsia="zh-CN"/>
        </w:rPr>
        <w:t>0.1656</w:t>
      </w:r>
      <w:r>
        <w:rPr>
          <w:rFonts w:hint="eastAsia" w:ascii="仿宋_GB2312" w:hAnsi="仿宋_GB2312" w:eastAsia="仿宋_GB2312" w:cs="仿宋_GB2312"/>
          <w:sz w:val="32"/>
          <w:szCs w:val="32"/>
        </w:rPr>
        <w:t>平方千米</w:t>
      </w:r>
    </w:p>
    <w:p w14:paraId="0C178722">
      <w:pPr>
        <w:keepNext w:val="0"/>
        <w:keepLines w:val="0"/>
        <w:pageBreakBefore w:val="0"/>
        <w:widowControl w:val="0"/>
        <w:kinsoku/>
        <w:wordWrap w:val="0"/>
        <w:overflowPunct/>
        <w:topLinePunct/>
        <w:autoSpaceDE/>
        <w:autoSpaceDN/>
        <w:bidi w:val="0"/>
        <w:adjustRightInd w:val="0"/>
        <w:snapToGrid w:val="0"/>
        <w:spacing w:line="540" w:lineRule="exact"/>
        <w:ind w:firstLine="640" w:firstLineChars="200"/>
        <w:textAlignment w:val="baseline"/>
        <w:rPr>
          <w:rFonts w:ascii="仿宋_GB2312" w:hAnsi="仿宋_GB2312" w:eastAsia="仿宋_GB2312" w:cs="仿宋_GB2312"/>
          <w:color w:val="auto"/>
          <w:kern w:val="32"/>
          <w:sz w:val="32"/>
          <w:szCs w:val="32"/>
          <w:lang w:eastAsia="zh-CN"/>
        </w:rPr>
      </w:pPr>
      <w:r>
        <w:rPr>
          <w:rFonts w:hint="eastAsia" w:ascii="仿宋_GB2312" w:hAnsi="仿宋_GB2312" w:eastAsia="仿宋_GB2312" w:cs="仿宋_GB2312"/>
          <w:sz w:val="32"/>
          <w:szCs w:val="32"/>
        </w:rPr>
        <w:t>(六)开采区域坐标:</w:t>
      </w:r>
      <w:r>
        <w:rPr>
          <w:rFonts w:hint="eastAsia" w:ascii="仿宋_GB2312" w:hAnsi="仿宋_GB2312" w:eastAsia="仿宋_GB2312" w:cs="仿宋_GB2312"/>
          <w:color w:val="auto"/>
          <w:kern w:val="32"/>
          <w:sz w:val="32"/>
          <w:szCs w:val="32"/>
          <w:lang w:eastAsia="zh-CN"/>
        </w:rPr>
        <w:t>由</w:t>
      </w:r>
      <w:r>
        <w:rPr>
          <w:rFonts w:hint="eastAsia" w:ascii="仿宋_GB2312" w:hAnsi="仿宋_GB2312" w:eastAsia="仿宋_GB2312" w:cs="仿宋_GB2312"/>
          <w:color w:val="auto"/>
          <w:kern w:val="32"/>
          <w:sz w:val="32"/>
          <w:szCs w:val="32"/>
          <w:lang w:val="en-US" w:eastAsia="zh-CN"/>
        </w:rPr>
        <w:t>22</w:t>
      </w:r>
      <w:r>
        <w:rPr>
          <w:rFonts w:hint="eastAsia" w:ascii="仿宋_GB2312" w:hAnsi="仿宋_GB2312" w:eastAsia="仿宋_GB2312" w:cs="仿宋_GB2312"/>
          <w:color w:val="auto"/>
          <w:kern w:val="32"/>
          <w:sz w:val="32"/>
          <w:szCs w:val="32"/>
          <w:lang w:eastAsia="zh-CN"/>
        </w:rPr>
        <w:t>个拐点圈定，其拐点坐标（2000国家大地坐标系）为：</w:t>
      </w:r>
    </w:p>
    <w:tbl>
      <w:tblPr>
        <w:tblStyle w:val="10"/>
        <w:tblW w:w="9453" w:type="dxa"/>
        <w:tblInd w:w="93" w:type="dxa"/>
        <w:tblLayout w:type="fixed"/>
        <w:tblCellMar>
          <w:top w:w="0" w:type="dxa"/>
          <w:left w:w="108" w:type="dxa"/>
          <w:bottom w:w="0" w:type="dxa"/>
          <w:right w:w="108" w:type="dxa"/>
        </w:tblCellMar>
      </w:tblPr>
      <w:tblGrid>
        <w:gridCol w:w="797"/>
        <w:gridCol w:w="1808"/>
        <w:gridCol w:w="2153"/>
        <w:gridCol w:w="841"/>
        <w:gridCol w:w="1859"/>
        <w:gridCol w:w="1995"/>
      </w:tblGrid>
      <w:tr w14:paraId="1328045E">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639811F3">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拐点</w:t>
            </w:r>
            <w:r>
              <w:rPr>
                <w:rFonts w:hint="eastAsia" w:ascii="仿宋_GB2312" w:hAnsi="仿宋_GB2312" w:eastAsia="仿宋_GB2312" w:cs="仿宋_GB2312"/>
                <w:color w:val="auto"/>
                <w:kern w:val="32"/>
                <w:sz w:val="28"/>
                <w:szCs w:val="28"/>
                <w:lang w:eastAsia="zh-CN"/>
              </w:rPr>
              <w:t>编</w:t>
            </w:r>
            <w:r>
              <w:rPr>
                <w:rFonts w:hint="eastAsia" w:ascii="仿宋_GB2312" w:hAnsi="仿宋_GB2312" w:eastAsia="仿宋_GB2312" w:cs="仿宋_GB2312"/>
                <w:color w:val="auto"/>
                <w:kern w:val="32"/>
                <w:sz w:val="28"/>
                <w:szCs w:val="28"/>
              </w:rPr>
              <w:t>号</w:t>
            </w:r>
          </w:p>
        </w:tc>
        <w:tc>
          <w:tcPr>
            <w:tcW w:w="1808" w:type="dxa"/>
            <w:tcBorders>
              <w:top w:val="single" w:color="auto" w:sz="4" w:space="0"/>
              <w:left w:val="nil"/>
              <w:bottom w:val="single" w:color="auto" w:sz="4" w:space="0"/>
              <w:right w:val="single" w:color="auto" w:sz="4" w:space="0"/>
            </w:tcBorders>
            <w:noWrap w:val="0"/>
            <w:vAlign w:val="center"/>
          </w:tcPr>
          <w:p w14:paraId="0778CEAC">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X</w:t>
            </w:r>
          </w:p>
        </w:tc>
        <w:tc>
          <w:tcPr>
            <w:tcW w:w="2153" w:type="dxa"/>
            <w:tcBorders>
              <w:top w:val="single" w:color="auto" w:sz="4" w:space="0"/>
              <w:left w:val="nil"/>
              <w:bottom w:val="single" w:color="auto" w:sz="4" w:space="0"/>
              <w:right w:val="single" w:color="auto" w:sz="4" w:space="0"/>
            </w:tcBorders>
            <w:noWrap w:val="0"/>
            <w:vAlign w:val="center"/>
          </w:tcPr>
          <w:p w14:paraId="05A66A04">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Y</w:t>
            </w:r>
          </w:p>
        </w:tc>
        <w:tc>
          <w:tcPr>
            <w:tcW w:w="841" w:type="dxa"/>
            <w:tcBorders>
              <w:top w:val="single" w:color="auto" w:sz="4" w:space="0"/>
              <w:left w:val="nil"/>
              <w:bottom w:val="single" w:color="auto" w:sz="4" w:space="0"/>
              <w:right w:val="single" w:color="auto" w:sz="4" w:space="0"/>
            </w:tcBorders>
            <w:noWrap w:val="0"/>
            <w:vAlign w:val="center"/>
          </w:tcPr>
          <w:p w14:paraId="12424ABD">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拐点</w:t>
            </w:r>
            <w:r>
              <w:rPr>
                <w:rFonts w:hint="eastAsia" w:ascii="仿宋_GB2312" w:hAnsi="仿宋_GB2312" w:eastAsia="仿宋_GB2312" w:cs="仿宋_GB2312"/>
                <w:color w:val="auto"/>
                <w:kern w:val="32"/>
                <w:sz w:val="28"/>
                <w:szCs w:val="28"/>
                <w:lang w:eastAsia="zh-CN"/>
              </w:rPr>
              <w:t>编</w:t>
            </w:r>
            <w:r>
              <w:rPr>
                <w:rFonts w:hint="eastAsia" w:ascii="仿宋_GB2312" w:hAnsi="仿宋_GB2312" w:eastAsia="仿宋_GB2312" w:cs="仿宋_GB2312"/>
                <w:color w:val="auto"/>
                <w:kern w:val="32"/>
                <w:sz w:val="28"/>
                <w:szCs w:val="28"/>
              </w:rPr>
              <w:t>号</w:t>
            </w:r>
          </w:p>
        </w:tc>
        <w:tc>
          <w:tcPr>
            <w:tcW w:w="1859" w:type="dxa"/>
            <w:tcBorders>
              <w:top w:val="single" w:color="auto" w:sz="4" w:space="0"/>
              <w:left w:val="nil"/>
              <w:bottom w:val="single" w:color="auto" w:sz="4" w:space="0"/>
              <w:right w:val="single" w:color="auto" w:sz="4" w:space="0"/>
            </w:tcBorders>
            <w:noWrap w:val="0"/>
            <w:vAlign w:val="center"/>
          </w:tcPr>
          <w:p w14:paraId="2335EF35">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X</w:t>
            </w:r>
          </w:p>
        </w:tc>
        <w:tc>
          <w:tcPr>
            <w:tcW w:w="1995" w:type="dxa"/>
            <w:tcBorders>
              <w:top w:val="single" w:color="auto" w:sz="4" w:space="0"/>
              <w:left w:val="nil"/>
              <w:bottom w:val="single" w:color="auto" w:sz="4" w:space="0"/>
              <w:right w:val="single" w:color="auto" w:sz="4" w:space="0"/>
            </w:tcBorders>
            <w:noWrap w:val="0"/>
            <w:vAlign w:val="center"/>
          </w:tcPr>
          <w:p w14:paraId="6D7D0F05">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Y</w:t>
            </w:r>
          </w:p>
        </w:tc>
      </w:tr>
      <w:tr w14:paraId="0BBBBD42">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6D1F7BB4">
            <w:pPr>
              <w:widowControl w:val="0"/>
              <w:kinsoku/>
              <w:wordWrap w:val="0"/>
              <w:topLinePunct/>
              <w:autoSpaceDE/>
              <w:autoSpaceDN/>
              <w:jc w:val="center"/>
              <w:rPr>
                <w:rFonts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J1</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2F62678F">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2342639.42</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5D52112">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37377052.02</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291BDF0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12</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F9F051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2342651.84</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8BFA19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37377824.71</w:t>
            </w:r>
          </w:p>
        </w:tc>
      </w:tr>
      <w:tr w14:paraId="3BD69FC0">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6610B46E">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2</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2E0A1192">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2342655.70</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B1D2D8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37377121.15</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231190F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13</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654EC7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2342650.71</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2E82CD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37377679.41</w:t>
            </w:r>
          </w:p>
        </w:tc>
      </w:tr>
      <w:tr w14:paraId="2AF670D4">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3E199F68">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3</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7F0D29C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2342652.63</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4E30B3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37377159.03</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38E7FBCE">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14</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3F480FB">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2342612.45</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E6D29CD">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37377663.31</w:t>
            </w:r>
          </w:p>
        </w:tc>
      </w:tr>
      <w:tr w14:paraId="28AB8E4E">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71DBA970">
            <w:pPr>
              <w:widowControl w:val="0"/>
              <w:kinsoku/>
              <w:wordWrap w:val="0"/>
              <w:topLinePunct/>
              <w:autoSpaceDE/>
              <w:autoSpaceDN/>
              <w:jc w:val="center"/>
              <w:rPr>
                <w:rFonts w:ascii="仿宋_GB2312" w:hAnsi="仿宋_GB2312" w:eastAsia="仿宋_GB2312" w:cs="仿宋_GB2312"/>
                <w:color w:val="auto"/>
                <w:kern w:val="32"/>
                <w:sz w:val="28"/>
                <w:szCs w:val="28"/>
                <w:lang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4</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613213C2">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2342674.25</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5930F2E">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37377178.80</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1015B2FB">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15</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7FE480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2342585.40</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D9E89A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37377522.34</w:t>
            </w:r>
          </w:p>
        </w:tc>
      </w:tr>
      <w:tr w14:paraId="0D6E49FC">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3CAB7C15">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5</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1240F8D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2342751.04</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60C59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37377365.01</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04BA6CF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16</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309B7BE">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2342578.87</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F8994D9">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37377208.86</w:t>
            </w:r>
          </w:p>
        </w:tc>
      </w:tr>
      <w:tr w14:paraId="33B246A5">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0557C4B8">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eastAsia="zh-CN"/>
              </w:rPr>
              <w:t>6</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7675B832">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2342880.71</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1D1380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37377574.20</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282DB1A7">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17</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BE1437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2342535.25</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E2F9FA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37377207.84</w:t>
            </w:r>
          </w:p>
        </w:tc>
      </w:tr>
      <w:tr w14:paraId="74763B88">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0E0191C3">
            <w:pPr>
              <w:widowControl w:val="0"/>
              <w:kinsoku/>
              <w:wordWrap w:val="0"/>
              <w:topLinePunct/>
              <w:autoSpaceDE/>
              <w:autoSpaceDN/>
              <w:jc w:val="center"/>
              <w:rPr>
                <w:rFonts w:hint="eastAsia"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7</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6008FC8D">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2342942.09</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ECCEF9B">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37377614.98</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20358D22">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18</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B3BE3E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2342529.17</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1F14D87">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37377149.98</w:t>
            </w:r>
          </w:p>
        </w:tc>
      </w:tr>
      <w:tr w14:paraId="2A046633">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51E19A4F">
            <w:pPr>
              <w:widowControl w:val="0"/>
              <w:kinsoku/>
              <w:wordWrap w:val="0"/>
              <w:topLinePunct/>
              <w:autoSpaceDE/>
              <w:autoSpaceDN/>
              <w:jc w:val="center"/>
              <w:rPr>
                <w:rFonts w:hint="eastAsia"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8</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663339B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2342938.73</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883DFE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37377711.67</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27F3C149">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19</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8DC3E0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2342515.88</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D77C990">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37377150.02</w:t>
            </w:r>
          </w:p>
        </w:tc>
      </w:tr>
      <w:tr w14:paraId="0DE9121D">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6EFBF2EB">
            <w:pPr>
              <w:widowControl w:val="0"/>
              <w:kinsoku/>
              <w:wordWrap w:val="0"/>
              <w:topLinePunct/>
              <w:autoSpaceDE/>
              <w:autoSpaceDN/>
              <w:jc w:val="center"/>
              <w:rPr>
                <w:rFonts w:hint="eastAsia" w:ascii="仿宋_GB2312" w:hAnsi="仿宋_GB2312" w:eastAsia="仿宋_GB2312" w:cs="仿宋_GB2312"/>
                <w:color w:val="auto"/>
                <w:kern w:val="32"/>
                <w:sz w:val="28"/>
                <w:szCs w:val="28"/>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9</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7A36B4B2">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2342909.40</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54708D3">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37377717.82</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2171168B">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20</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359D36B">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2342506.26</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F0D3B6F">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37377084.48</w:t>
            </w:r>
          </w:p>
        </w:tc>
      </w:tr>
      <w:tr w14:paraId="383FF088">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53D8D21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10</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79E9ECBB">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2342761.07</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743EA9A">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37377888.61</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351122F8">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21</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65201FE">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2342535.39</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BEC5665">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37377072.46</w:t>
            </w:r>
          </w:p>
        </w:tc>
      </w:tr>
      <w:tr w14:paraId="7AC1C8B6">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005ACFA1">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11</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58633CB7">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2342689.51</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6D8F56">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37377880.52</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7E4F7C4C">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rPr>
              <w:t>J</w:t>
            </w:r>
            <w:r>
              <w:rPr>
                <w:rFonts w:hint="eastAsia" w:ascii="仿宋_GB2312" w:hAnsi="仿宋_GB2312" w:eastAsia="仿宋_GB2312" w:cs="仿宋_GB2312"/>
                <w:color w:val="auto"/>
                <w:kern w:val="32"/>
                <w:sz w:val="28"/>
                <w:szCs w:val="28"/>
                <w:lang w:val="en-US" w:eastAsia="zh-CN"/>
              </w:rPr>
              <w:t>22</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DA3FF70">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2342605.90</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C2D17FD">
            <w:pPr>
              <w:widowControl w:val="0"/>
              <w:kinsoku/>
              <w:wordWrap w:val="0"/>
              <w:topLinePunct/>
              <w:autoSpaceDE/>
              <w:autoSpaceDN/>
              <w:jc w:val="center"/>
              <w:rPr>
                <w:rFonts w:hint="default" w:ascii="仿宋_GB2312" w:hAnsi="仿宋_GB2312" w:eastAsia="仿宋_GB2312" w:cs="仿宋_GB2312"/>
                <w:color w:val="auto"/>
                <w:kern w:val="32"/>
                <w:sz w:val="28"/>
                <w:szCs w:val="28"/>
                <w:lang w:val="en-US" w:eastAsia="zh-CN"/>
              </w:rPr>
            </w:pPr>
            <w:r>
              <w:rPr>
                <w:rFonts w:hint="eastAsia" w:ascii="仿宋_GB2312" w:hAnsi="仿宋_GB2312" w:eastAsia="仿宋_GB2312" w:cs="仿宋_GB2312"/>
                <w:color w:val="auto"/>
                <w:kern w:val="32"/>
                <w:sz w:val="28"/>
                <w:szCs w:val="28"/>
                <w:lang w:val="en-US" w:eastAsia="zh-CN"/>
              </w:rPr>
              <w:t>37377034.88</w:t>
            </w:r>
          </w:p>
        </w:tc>
      </w:tr>
    </w:tbl>
    <w:p w14:paraId="704228DE">
      <w:pPr>
        <w:numPr>
          <w:ilvl w:val="0"/>
          <w:numId w:val="0"/>
        </w:num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开采标高:</w:t>
      </w:r>
      <w:r>
        <w:rPr>
          <w:rFonts w:hint="eastAsia" w:ascii="仿宋_GB2312" w:hAnsi="仿宋_GB2312" w:eastAsia="仿宋_GB2312" w:cs="仿宋_GB2312"/>
          <w:sz w:val="32"/>
          <w:szCs w:val="32"/>
          <w:u w:val="none"/>
          <w:lang w:val="en-US" w:eastAsia="zh-CN"/>
        </w:rPr>
        <w:t>24.66</w:t>
      </w:r>
      <w:r>
        <w:rPr>
          <w:rFonts w:hint="eastAsia" w:ascii="仿宋_GB2312" w:hAnsi="仿宋_GB2312" w:eastAsia="仿宋_GB2312" w:cs="仿宋_GB2312"/>
          <w:sz w:val="32"/>
          <w:szCs w:val="32"/>
        </w:rPr>
        <w:t>米至</w:t>
      </w:r>
      <w:r>
        <w:rPr>
          <w:rFonts w:hint="eastAsia" w:ascii="仿宋_GB2312" w:hAnsi="仿宋_GB2312" w:eastAsia="仿宋_GB2312" w:cs="仿宋_GB2312"/>
          <w:sz w:val="32"/>
          <w:szCs w:val="32"/>
          <w:u w:val="none"/>
          <w:lang w:val="en-US" w:eastAsia="zh-CN"/>
        </w:rPr>
        <w:t>1.42</w:t>
      </w:r>
      <w:r>
        <w:rPr>
          <w:rFonts w:hint="eastAsia" w:ascii="仿宋_GB2312" w:hAnsi="仿宋_GB2312" w:eastAsia="仿宋_GB2312" w:cs="仿宋_GB2312"/>
          <w:sz w:val="32"/>
          <w:szCs w:val="32"/>
        </w:rPr>
        <w:t>米</w:t>
      </w:r>
    </w:p>
    <w:p w14:paraId="104CA864">
      <w:pPr>
        <w:keepNext w:val="0"/>
        <w:keepLines w:val="0"/>
        <w:pageBreakBefore w:val="0"/>
        <w:widowControl/>
        <w:wordWrap/>
        <w:overflowPunct/>
        <w:bidi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b w:val="0"/>
          <w:bCs w:val="0"/>
          <w:sz w:val="32"/>
          <w:szCs w:val="32"/>
        </w:rPr>
        <w:t>出让方式:</w:t>
      </w:r>
    </w:p>
    <w:p w14:paraId="5D250B7C">
      <w:pPr>
        <w:keepNext w:val="0"/>
        <w:keepLines w:val="0"/>
        <w:pageBreakBefore w:val="0"/>
        <w:widowControl/>
        <w:wordWrap/>
        <w:overflowPunct/>
        <w:bidi w:val="0"/>
        <w:spacing w:line="560" w:lineRule="exact"/>
        <w:ind w:firstLine="320" w:firstLineChars="1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采矿权以</w:t>
      </w:r>
      <w:r>
        <w:rPr>
          <w:rFonts w:hint="eastAsia" w:ascii="仿宋_GB2312" w:hAnsi="仿宋_GB2312" w:eastAsia="仿宋_GB2312" w:cs="仿宋_GB2312"/>
          <w:sz w:val="32"/>
          <w:szCs w:val="32"/>
          <w:u w:val="none"/>
        </w:rPr>
        <w:t>口招标口拍卖☑口挂牌口协议(</w:t>
      </w:r>
      <w:r>
        <w:rPr>
          <w:rFonts w:hint="eastAsia" w:ascii="仿宋_GB2312" w:hAnsi="仿宋_GB2312" w:eastAsia="仿宋_GB2312" w:cs="仿宋_GB2312"/>
          <w:sz w:val="32"/>
          <w:szCs w:val="32"/>
        </w:rPr>
        <w:t>仅用于招</w:t>
      </w:r>
      <w:r>
        <w:rPr>
          <w:rFonts w:hint="eastAsia" w:ascii="仿宋_GB2312" w:hAnsi="仿宋_GB2312" w:eastAsia="仿宋_GB2312" w:cs="仿宋_GB2312"/>
          <w:sz w:val="32"/>
          <w:szCs w:val="32"/>
          <w:lang w:val="en-US" w:eastAsia="zh-CN"/>
        </w:rPr>
        <w:t>标/拍卖/挂牌/协议出让采</w:t>
      </w:r>
      <w:r>
        <w:rPr>
          <w:rFonts w:hint="eastAsia" w:ascii="仿宋_GB2312" w:hAnsi="仿宋_GB2312" w:eastAsia="仿宋_GB2312" w:cs="仿宋_GB2312"/>
          <w:sz w:val="32"/>
          <w:szCs w:val="32"/>
        </w:rPr>
        <w:t>矿权)</w:t>
      </w:r>
      <w:r>
        <w:rPr>
          <w:rFonts w:hint="eastAsia" w:ascii="仿宋_GB2312" w:hAnsi="仿宋_GB2312" w:eastAsia="仿宋_GB2312" w:cs="仿宋_GB2312"/>
          <w:sz w:val="32"/>
          <w:szCs w:val="32"/>
          <w:lang w:eastAsia="zh-CN"/>
        </w:rPr>
        <w:t>。</w:t>
      </w:r>
    </w:p>
    <w:p w14:paraId="5A0AC4B2">
      <w:pPr>
        <w:keepNext w:val="0"/>
        <w:keepLines w:val="0"/>
        <w:pageBreakBefore w:val="0"/>
        <w:widowControl/>
        <w:kinsoku/>
        <w:wordWrap/>
        <w:overflowPunct/>
        <w:topLinePunct/>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kern w:val="21"/>
          <w:sz w:val="32"/>
          <w:szCs w:val="32"/>
          <w:lang w:eastAsia="zh-CN"/>
        </w:rPr>
        <w:t>（二）实施□招标□拍卖☑挂牌出让的矿业权交易平台：</w:t>
      </w:r>
      <w:r>
        <w:rPr>
          <w:rFonts w:hint="eastAsia" w:ascii="仿宋_GB2312" w:hAnsi="仿宋_GB2312" w:eastAsia="仿宋_GB2312" w:cs="仿宋_GB2312"/>
          <w:color w:val="auto"/>
          <w:kern w:val="21"/>
          <w:sz w:val="32"/>
          <w:szCs w:val="32"/>
          <w:u w:val="single"/>
          <w:lang w:eastAsia="zh-CN"/>
        </w:rPr>
        <w:t>广东省</w:t>
      </w:r>
      <w:r>
        <w:rPr>
          <w:rFonts w:hint="eastAsia" w:ascii="仿宋_GB2312" w:hAnsi="仿宋_GB2312" w:eastAsia="仿宋_GB2312" w:cs="仿宋_GB2312"/>
          <w:color w:val="auto"/>
          <w:sz w:val="32"/>
          <w:szCs w:val="32"/>
          <w:u w:val="single"/>
          <w:lang w:eastAsia="zh-CN"/>
        </w:rPr>
        <w:t>湛江市公共资源交易中心  地址：广东省湛江市赤坎区体育北路2号天润中心五楼；网址：广东省公共资源交易中心平台（湛江市）</w:t>
      </w:r>
    </w:p>
    <w:p w14:paraId="2CE0B113">
      <w:pPr>
        <w:keepNext w:val="0"/>
        <w:keepLines w:val="0"/>
        <w:pageBreakBefore w:val="0"/>
        <w:widowControl/>
        <w:kinsoku/>
        <w:wordWrap/>
        <w:overflowPunct/>
        <w:topLinePunct/>
        <w:autoSpaceDE/>
        <w:autoSpaceDN/>
        <w:bidi w:val="0"/>
        <w:adjustRightInd/>
        <w:snapToGrid/>
        <w:spacing w:line="560" w:lineRule="exact"/>
        <w:jc w:val="both"/>
        <w:textAlignment w:val="baseline"/>
        <w:rPr>
          <w:rFonts w:ascii="仿宋_GB2312" w:hAnsi="仿宋_GB2312" w:eastAsia="仿宋_GB2312" w:cs="仿宋_GB2312"/>
          <w:color w:val="auto"/>
          <w:spacing w:val="-11"/>
          <w:sz w:val="32"/>
          <w:szCs w:val="32"/>
          <w:u w:val="single"/>
          <w:lang w:eastAsia="zh-CN"/>
        </w:rPr>
      </w:pPr>
      <w:r>
        <w:rPr>
          <w:rFonts w:hint="eastAsia" w:ascii="仿宋_GB2312" w:hAnsi="仿宋_GB2312" w:eastAsia="仿宋_GB2312" w:cs="仿宋_GB2312"/>
          <w:color w:val="auto"/>
          <w:spacing w:val="-11"/>
          <w:sz w:val="32"/>
          <w:szCs w:val="32"/>
          <w:u w:val="single"/>
          <w:lang w:eastAsia="zh-CN"/>
        </w:rPr>
        <w:t>（https://ygp.gdzwfw.gov.cn/ggzy-portal/#/440800/index）</w:t>
      </w:r>
    </w:p>
    <w:p w14:paraId="793A3B06">
      <w:pPr>
        <w:keepNext w:val="0"/>
        <w:keepLines w:val="0"/>
        <w:pageBreakBefore w:val="0"/>
        <w:widowControl/>
        <w:wordWrap/>
        <w:overflowPunct/>
        <w:bidi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采矿权的期限为</w:t>
      </w:r>
      <w:r>
        <w:rPr>
          <w:rFonts w:hint="eastAsia" w:ascii="仿宋_GB2312" w:hAnsi="仿宋_GB2312" w:eastAsia="仿宋_GB2312" w:cs="仿宋_GB2312"/>
          <w:sz w:val="32"/>
          <w:szCs w:val="32"/>
          <w:u w:val="none"/>
          <w:lang w:val="en-US" w:eastAsia="zh-CN"/>
        </w:rPr>
        <w:t>陆</w:t>
      </w:r>
      <w:r>
        <w:rPr>
          <w:rFonts w:hint="eastAsia" w:ascii="仿宋_GB2312" w:hAnsi="仿宋_GB2312" w:eastAsia="仿宋_GB2312" w:cs="仿宋_GB2312"/>
          <w:sz w:val="32"/>
          <w:szCs w:val="32"/>
        </w:rPr>
        <w:t>年</w:t>
      </w:r>
      <w:r>
        <w:rPr>
          <w:rFonts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sz w:val="32"/>
          <w:szCs w:val="32"/>
          <w:lang w:val="en-US" w:eastAsia="zh-CN"/>
        </w:rPr>
        <w:t>包含基建期和闭坑治理期各0.5年</w:t>
      </w:r>
      <w:r>
        <w:rPr>
          <w:rFonts w:ascii="Times New Roman" w:hAnsi="仿宋_GB2312" w:eastAsia="仿宋_GB2312" w:cs="Times New Roman"/>
          <w:color w:val="auto"/>
          <w:kern w:val="21"/>
          <w:sz w:val="32"/>
          <w:szCs w:val="32"/>
          <w:lang w:eastAsia="zh-CN"/>
        </w:rPr>
        <w:t>）</w:t>
      </w:r>
      <w:r>
        <w:rPr>
          <w:rFonts w:hint="eastAsia" w:ascii="仿宋_GB2312" w:hAnsi="仿宋_GB2312" w:eastAsia="仿宋_GB2312" w:cs="仿宋_GB2312"/>
          <w:sz w:val="32"/>
          <w:szCs w:val="32"/>
        </w:rPr>
        <w:t>，采矿权期限届满，登记的开采区域内仍有可供开采的矿产资源的，可以续期。法律、行政法规另</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规定的除外。</w:t>
      </w:r>
    </w:p>
    <w:p w14:paraId="2BC1B600">
      <w:pPr>
        <w:keepNext w:val="0"/>
        <w:keepLines w:val="0"/>
        <w:pageBreakBefore w:val="0"/>
        <w:widowControl/>
        <w:wordWrap/>
        <w:overflowPunct/>
        <w:bidi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rPr>
        <w:t>矿业权出让收益</w:t>
      </w:r>
    </w:p>
    <w:p w14:paraId="5D0F1EE3">
      <w:pPr>
        <w:keepNext w:val="0"/>
        <w:keepLines w:val="0"/>
        <w:pageBreakBefore w:val="0"/>
        <w:widowControl/>
        <w:wordWrap/>
        <w:overflowPunct/>
        <w:bidi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(以下仅用于按出让金额形式征收)</w:t>
      </w:r>
    </w:p>
    <w:p w14:paraId="3C7A6205">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baseline"/>
        <w:rPr>
          <w:rFonts w:ascii="Times New Roman" w:hAnsi="仿宋_GB2312" w:eastAsia="仿宋_GB2312" w:cs="Times New Roman"/>
          <w:color w:val="auto"/>
          <w:kern w:val="21"/>
          <w:sz w:val="32"/>
          <w:szCs w:val="32"/>
          <w:lang w:eastAsia="zh-CN"/>
        </w:rPr>
      </w:pPr>
      <w:r>
        <w:rPr>
          <w:rFonts w:hint="eastAsia" w:ascii="仿宋_GB2312" w:hAnsi="仿宋_GB2312" w:eastAsia="仿宋_GB2312" w:cs="仿宋_GB2312"/>
          <w:sz w:val="32"/>
          <w:szCs w:val="32"/>
        </w:rPr>
        <w:t>(一)采矿权出让收益为人民币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Times New Roman" w:hAnsi="仿宋_GB2312" w:eastAsia="仿宋_GB2312" w:cs="Times New Roman"/>
          <w:color w:val="auto"/>
          <w:kern w:val="21"/>
          <w:sz w:val="32"/>
          <w:szCs w:val="32"/>
          <w:lang w:eastAsia="zh-CN"/>
        </w:rPr>
        <w:t>采矿权出让收益不包括矿区</w:t>
      </w:r>
      <w:r>
        <w:rPr>
          <w:rFonts w:hint="eastAsia" w:ascii="Times New Roman" w:hAnsi="仿宋_GB2312" w:eastAsia="仿宋_GB2312" w:cs="Times New Roman"/>
          <w:color w:val="auto"/>
          <w:kern w:val="21"/>
          <w:sz w:val="32"/>
          <w:szCs w:val="32"/>
          <w:lang w:val="en-US" w:eastAsia="zh-CN"/>
        </w:rPr>
        <w:t>土地租金及</w:t>
      </w:r>
      <w:r>
        <w:rPr>
          <w:rFonts w:hint="eastAsia" w:ascii="Times New Roman" w:hAnsi="仿宋_GB2312" w:eastAsia="仿宋_GB2312" w:cs="Times New Roman"/>
          <w:color w:val="auto"/>
          <w:kern w:val="21"/>
          <w:sz w:val="32"/>
          <w:szCs w:val="32"/>
          <w:lang w:eastAsia="zh-CN"/>
        </w:rPr>
        <w:t>地上附着物、青苗等补偿费用；不包括资源税、矿山地质环境治理恢复基金、矿区用地范围界桩施工费及航拍费、采矿权占用（使用）费、森林植被恢复费、</w:t>
      </w:r>
      <w:r>
        <w:rPr>
          <w:rFonts w:hint="eastAsia" w:ascii="Times New Roman" w:hAnsi="仿宋_GB2312" w:eastAsia="仿宋_GB2312" w:cs="Times New Roman"/>
          <w:color w:val="auto"/>
          <w:kern w:val="21"/>
          <w:sz w:val="32"/>
          <w:szCs w:val="32"/>
          <w:lang w:val="en-US" w:eastAsia="zh-CN"/>
        </w:rPr>
        <w:t>开采方案编制费、</w:t>
      </w:r>
      <w:r>
        <w:rPr>
          <w:rFonts w:hint="eastAsia" w:ascii="Times New Roman" w:hAnsi="仿宋_GB2312" w:eastAsia="仿宋_GB2312" w:cs="Times New Roman"/>
          <w:color w:val="auto"/>
          <w:kern w:val="21"/>
          <w:sz w:val="32"/>
          <w:szCs w:val="32"/>
          <w:lang w:eastAsia="zh-CN"/>
        </w:rPr>
        <w:t>矿山地质环境保护与土地复垦方案编制费、办理用地、用林手续费用及其他相关费用，以上费用由乙方自行承担，另行支付。乙方向有关市场监管、应急、水务、生态环境、自然资源、税务等部门申办手续时需缴交的税费须自行承担。</w:t>
      </w:r>
    </w:p>
    <w:p w14:paraId="63354411">
      <w:pPr>
        <w:keepNext w:val="0"/>
        <w:keepLines w:val="0"/>
        <w:pageBreakBefore w:val="0"/>
        <w:widowControl/>
        <w:wordWrap/>
        <w:overflowPunct/>
        <w:bidi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(二)采矿权出让收益按以下第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种方式缴纳:</w:t>
      </w:r>
    </w:p>
    <w:p w14:paraId="74B8EDA4">
      <w:pPr>
        <w:keepNext w:val="0"/>
        <w:keepLines w:val="0"/>
        <w:pageBreakBefore w:val="0"/>
        <w:widowControl/>
        <w:wordWrap/>
        <w:overflowPunct/>
        <w:bidi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1.一次性缴清。</w:t>
      </w:r>
    </w:p>
    <w:p w14:paraId="3C6766C4">
      <w:pPr>
        <w:keepNext w:val="0"/>
        <w:keepLines w:val="0"/>
        <w:pageBreakBefore w:val="0"/>
        <w:widowControl/>
        <w:wordWrap/>
        <w:overflowPunct/>
        <w:bidi w:val="0"/>
        <w:spacing w:line="560" w:lineRule="exact"/>
        <w:ind w:firstLine="640" w:firstLineChars="200"/>
        <w:textAlignment w:val="baseline"/>
        <w:rPr>
          <w:rFonts w:hint="eastAsia" w:ascii="仿宋_GB2312" w:hAnsi="仿宋_GB2312" w:eastAsia="仿宋_GB2312" w:cs="仿宋_GB2312"/>
          <w:strike/>
          <w:dstrike w:val="0"/>
          <w:sz w:val="32"/>
          <w:szCs w:val="32"/>
        </w:rPr>
      </w:pPr>
      <w:r>
        <w:rPr>
          <w:rFonts w:hint="eastAsia" w:ascii="仿宋_GB2312" w:hAnsi="仿宋_GB2312" w:eastAsia="仿宋_GB2312" w:cs="仿宋_GB2312"/>
          <w:strike/>
          <w:dstrike w:val="0"/>
          <w:sz w:val="32"/>
          <w:szCs w:val="32"/>
        </w:rPr>
        <w:t>2.分期缴纳。首次缴纳人民币</w:t>
      </w:r>
      <w:r>
        <w:rPr>
          <w:rFonts w:hint="eastAsia" w:ascii="仿宋_GB2312" w:hAnsi="仿宋_GB2312" w:eastAsia="仿宋_GB2312" w:cs="仿宋_GB2312"/>
          <w:strike/>
          <w:dstrike w:val="0"/>
          <w:sz w:val="32"/>
          <w:szCs w:val="32"/>
          <w:u w:val="single"/>
          <w:lang w:val="en-US" w:eastAsia="zh-CN"/>
        </w:rPr>
        <w:t xml:space="preserve">   /    </w:t>
      </w:r>
      <w:r>
        <w:rPr>
          <w:rFonts w:hint="eastAsia" w:ascii="仿宋_GB2312" w:hAnsi="仿宋_GB2312" w:eastAsia="仿宋_GB2312" w:cs="仿宋_GB2312"/>
          <w:strike/>
          <w:dstrike w:val="0"/>
          <w:sz w:val="32"/>
          <w:szCs w:val="32"/>
          <w:lang w:val="en-US" w:eastAsia="zh-CN"/>
        </w:rPr>
        <w:t>元（大写）</w:t>
      </w:r>
      <w:r>
        <w:rPr>
          <w:rFonts w:hint="eastAsia" w:ascii="仿宋_GB2312" w:hAnsi="仿宋_GB2312" w:eastAsia="仿宋_GB2312" w:cs="仿宋_GB2312"/>
          <w:strike/>
          <w:dstrike w:val="0"/>
          <w:sz w:val="32"/>
          <w:szCs w:val="32"/>
        </w:rPr>
        <w:t>(￥</w:t>
      </w:r>
      <w:r>
        <w:rPr>
          <w:rFonts w:hint="eastAsia" w:ascii="仿宋_GB2312" w:hAnsi="仿宋_GB2312" w:eastAsia="仿宋_GB2312" w:cs="仿宋_GB2312"/>
          <w:strike/>
          <w:dstrike w:val="0"/>
          <w:sz w:val="32"/>
          <w:szCs w:val="32"/>
          <w:u w:val="single"/>
          <w:lang w:val="en-US" w:eastAsia="zh-CN"/>
        </w:rPr>
        <w:t xml:space="preserve">    /   </w:t>
      </w:r>
      <w:r>
        <w:rPr>
          <w:rFonts w:hint="eastAsia" w:ascii="仿宋_GB2312" w:hAnsi="仿宋_GB2312" w:eastAsia="仿宋_GB2312" w:cs="仿宋_GB2312"/>
          <w:strike/>
          <w:dstrike w:val="0"/>
          <w:sz w:val="32"/>
          <w:szCs w:val="32"/>
        </w:rPr>
        <w:t>元);剩余部分在采矿权有效期内分</w:t>
      </w:r>
      <w:r>
        <w:rPr>
          <w:rFonts w:hint="eastAsia" w:ascii="仿宋_GB2312" w:hAnsi="仿宋_GB2312" w:eastAsia="仿宋_GB2312" w:cs="仿宋_GB2312"/>
          <w:strike/>
          <w:dstrike w:val="0"/>
          <w:sz w:val="32"/>
          <w:szCs w:val="32"/>
          <w:u w:val="single"/>
          <w:lang w:val="en-US" w:eastAsia="zh-CN"/>
        </w:rPr>
        <w:t xml:space="preserve"> </w:t>
      </w:r>
      <w:bookmarkStart w:id="0" w:name="_GoBack"/>
      <w:bookmarkEnd w:id="0"/>
      <w:r>
        <w:rPr>
          <w:rFonts w:hint="eastAsia" w:ascii="仿宋_GB2312" w:hAnsi="仿宋_GB2312" w:eastAsia="仿宋_GB2312" w:cs="仿宋_GB2312"/>
          <w:strike/>
          <w:dstrike w:val="0"/>
          <w:sz w:val="32"/>
          <w:szCs w:val="32"/>
          <w:u w:val="single"/>
          <w:lang w:val="en-US" w:eastAsia="zh-CN"/>
        </w:rPr>
        <w:t xml:space="preserve"> / </w:t>
      </w:r>
      <w:r>
        <w:rPr>
          <w:rFonts w:hint="eastAsia" w:ascii="仿宋_GB2312" w:hAnsi="仿宋_GB2312" w:eastAsia="仿宋_GB2312" w:cs="仿宋_GB2312"/>
          <w:strike/>
          <w:dstrike w:val="0"/>
          <w:sz w:val="32"/>
          <w:szCs w:val="32"/>
        </w:rPr>
        <w:t>年缴纳，每年</w:t>
      </w:r>
      <w:r>
        <w:rPr>
          <w:rFonts w:hint="eastAsia" w:ascii="仿宋_GB2312" w:hAnsi="仿宋_GB2312" w:eastAsia="仿宋_GB2312" w:cs="仿宋_GB2312"/>
          <w:strike/>
          <w:dstrike w:val="0"/>
          <w:sz w:val="32"/>
          <w:szCs w:val="32"/>
          <w:u w:val="single"/>
        </w:rPr>
        <w:t>(具体时间)</w:t>
      </w:r>
      <w:r>
        <w:rPr>
          <w:rFonts w:hint="eastAsia" w:ascii="仿宋_GB2312" w:hAnsi="仿宋_GB2312" w:eastAsia="仿宋_GB2312" w:cs="仿宋_GB2312"/>
          <w:strike/>
          <w:dstrike w:val="0"/>
          <w:sz w:val="32"/>
          <w:szCs w:val="32"/>
          <w:u w:val="single"/>
          <w:lang w:val="en-US" w:eastAsia="zh-CN"/>
        </w:rPr>
        <w:t xml:space="preserve"> /  </w:t>
      </w:r>
      <w:r>
        <w:rPr>
          <w:rFonts w:hint="eastAsia" w:ascii="仿宋_GB2312" w:hAnsi="仿宋_GB2312" w:eastAsia="仿宋_GB2312" w:cs="仿宋_GB2312"/>
          <w:strike/>
          <w:dstrike w:val="0"/>
          <w:sz w:val="32"/>
          <w:szCs w:val="32"/>
        </w:rPr>
        <w:t>缴纳人民币:</w:t>
      </w:r>
      <w:r>
        <w:rPr>
          <w:rFonts w:hint="eastAsia" w:ascii="仿宋_GB2312" w:hAnsi="仿宋_GB2312" w:eastAsia="仿宋_GB2312" w:cs="仿宋_GB2312"/>
          <w:strike/>
          <w:dstrike w:val="0"/>
          <w:sz w:val="32"/>
          <w:szCs w:val="32"/>
          <w:u w:val="single"/>
          <w:lang w:val="en-US" w:eastAsia="zh-CN"/>
        </w:rPr>
        <w:t xml:space="preserve">    /        </w:t>
      </w:r>
      <w:r>
        <w:rPr>
          <w:rFonts w:hint="eastAsia" w:ascii="仿宋_GB2312" w:hAnsi="仿宋_GB2312" w:eastAsia="仿宋_GB2312" w:cs="仿宋_GB2312"/>
          <w:strike/>
          <w:dstrike w:val="0"/>
          <w:sz w:val="32"/>
          <w:szCs w:val="32"/>
        </w:rPr>
        <w:t>元(大写) (￥</w:t>
      </w:r>
      <w:r>
        <w:rPr>
          <w:rFonts w:hint="eastAsia" w:ascii="仿宋_GB2312" w:hAnsi="仿宋_GB2312" w:eastAsia="仿宋_GB2312" w:cs="仿宋_GB2312"/>
          <w:strike/>
          <w:dstrike w:val="0"/>
          <w:sz w:val="32"/>
          <w:szCs w:val="32"/>
          <w:u w:val="single"/>
          <w:lang w:val="en-US" w:eastAsia="zh-CN"/>
        </w:rPr>
        <w:t xml:space="preserve">     /   </w:t>
      </w:r>
      <w:r>
        <w:rPr>
          <w:rFonts w:hint="eastAsia" w:ascii="仿宋_GB2312" w:hAnsi="仿宋_GB2312" w:eastAsia="仿宋_GB2312" w:cs="仿宋_GB2312"/>
          <w:strike/>
          <w:dstrike w:val="0"/>
          <w:sz w:val="32"/>
          <w:szCs w:val="32"/>
        </w:rPr>
        <w:t>元)</w:t>
      </w:r>
      <w:r>
        <w:rPr>
          <w:rFonts w:hint="eastAsia" w:ascii="仿宋_GB2312" w:hAnsi="仿宋_GB2312" w:eastAsia="仿宋_GB2312" w:cs="仿宋_GB2312"/>
          <w:strike/>
          <w:dstrike w:val="0"/>
          <w:sz w:val="32"/>
          <w:szCs w:val="32"/>
          <w:lang w:eastAsia="zh-CN"/>
        </w:rPr>
        <w:t>。</w:t>
      </w:r>
      <w:r>
        <w:rPr>
          <w:rFonts w:hint="eastAsia" w:ascii="仿宋_GB2312" w:hAnsi="仿宋_GB2312" w:eastAsia="仿宋_GB2312" w:cs="仿宋_GB2312"/>
          <w:strike/>
          <w:dstrike w:val="0"/>
          <w:sz w:val="32"/>
          <w:szCs w:val="32"/>
        </w:rPr>
        <w:t>(仅用于招标/拍卖/挂牌出让采矿权的)</w:t>
      </w:r>
    </w:p>
    <w:p w14:paraId="4FA53329">
      <w:pPr>
        <w:keepNext w:val="0"/>
        <w:keepLines w:val="0"/>
        <w:pageBreakBefore w:val="0"/>
        <w:kinsoku/>
        <w:wordWrap/>
        <w:overflowPunct/>
        <w:topLinePunct/>
        <w:autoSpaceDE/>
        <w:autoSpaceDN/>
        <w:bidi w:val="0"/>
        <w:adjustRightInd/>
        <w:snapToGrid/>
        <w:spacing w:line="560" w:lineRule="exact"/>
        <w:ind w:firstLine="624" w:firstLineChars="200"/>
        <w:jc w:val="left"/>
        <w:textAlignment w:val="baseline"/>
        <w:outlineLvl w:val="0"/>
        <w:rPr>
          <w:rFonts w:hint="eastAsia" w:ascii="仿宋_GB2312" w:hAnsi="仿宋_GB2312" w:eastAsia="仿宋_GB2312" w:cs="仿宋_GB2312"/>
          <w:strike/>
          <w:dstrike w:val="0"/>
          <w:color w:val="FF0000"/>
          <w:sz w:val="32"/>
          <w:szCs w:val="32"/>
        </w:rPr>
      </w:pP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三</w:t>
      </w:r>
      <w:r>
        <w:rPr>
          <w:rFonts w:hint="eastAsia" w:ascii="仿宋_GB2312" w:hAnsi="仿宋_GB2312" w:eastAsia="仿宋_GB2312" w:cs="仿宋_GB2312"/>
          <w:color w:val="auto"/>
          <w:spacing w:val="-4"/>
          <w:sz w:val="32"/>
          <w:szCs w:val="32"/>
          <w:lang w:eastAsia="zh-CN"/>
        </w:rPr>
        <w:t>）自本合同签订之日起</w:t>
      </w:r>
      <w:r>
        <w:rPr>
          <w:rFonts w:hint="eastAsia" w:ascii="仿宋_GB2312" w:hAnsi="仿宋_GB2312" w:eastAsia="仿宋_GB2312" w:cs="仿宋_GB2312"/>
          <w:color w:val="auto"/>
          <w:spacing w:val="-4"/>
          <w:sz w:val="32"/>
          <w:szCs w:val="32"/>
          <w:lang w:val="en-US" w:eastAsia="zh-CN"/>
        </w:rPr>
        <w:t>10</w:t>
      </w:r>
      <w:r>
        <w:rPr>
          <w:rFonts w:hint="eastAsia" w:ascii="仿宋_GB2312" w:hAnsi="仿宋_GB2312" w:eastAsia="仿宋_GB2312" w:cs="仿宋_GB2312"/>
          <w:color w:val="auto"/>
          <w:spacing w:val="-4"/>
          <w:sz w:val="32"/>
          <w:szCs w:val="32"/>
          <w:lang w:eastAsia="zh-CN"/>
        </w:rPr>
        <w:t>个工作日内，由甲方</w:t>
      </w:r>
      <w:r>
        <w:rPr>
          <w:rFonts w:hint="eastAsia" w:ascii="仿宋_GB2312" w:hAnsi="仿宋_GB2312" w:eastAsia="仿宋_GB2312" w:cs="仿宋_GB2312"/>
          <w:color w:val="auto"/>
          <w:spacing w:val="-4"/>
          <w:sz w:val="32"/>
          <w:szCs w:val="32"/>
          <w:lang w:val="en-US" w:eastAsia="zh-CN"/>
        </w:rPr>
        <w:t>将矿业权出让合同等费源信息推送至矿业</w:t>
      </w:r>
      <w:r>
        <w:rPr>
          <w:rFonts w:hint="eastAsia" w:ascii="仿宋_GB2312" w:hAnsi="仿宋_GB2312" w:eastAsia="仿宋_GB2312" w:cs="仿宋_GB2312"/>
          <w:color w:val="auto"/>
          <w:spacing w:val="-4"/>
          <w:sz w:val="32"/>
          <w:szCs w:val="32"/>
          <w:lang w:eastAsia="zh-CN"/>
        </w:rPr>
        <w:t>权出让收益</w:t>
      </w:r>
      <w:r>
        <w:rPr>
          <w:rFonts w:hint="eastAsia" w:ascii="仿宋_GB2312" w:hAnsi="仿宋_GB2312" w:eastAsia="仿宋_GB2312" w:cs="仿宋_GB2312"/>
          <w:color w:val="auto"/>
          <w:spacing w:val="-4"/>
          <w:sz w:val="32"/>
          <w:szCs w:val="32"/>
          <w:lang w:val="en-US" w:eastAsia="zh-CN"/>
        </w:rPr>
        <w:t>征收机关，</w:t>
      </w:r>
      <w:r>
        <w:rPr>
          <w:rFonts w:hint="eastAsia" w:ascii="仿宋_GB2312" w:hAnsi="仿宋_GB2312" w:eastAsia="仿宋_GB2312" w:cs="仿宋_GB2312"/>
          <w:color w:val="auto"/>
          <w:spacing w:val="-4"/>
          <w:sz w:val="32"/>
          <w:szCs w:val="32"/>
          <w:lang w:eastAsia="zh-CN"/>
        </w:rPr>
        <w:t>由收益</w:t>
      </w:r>
      <w:r>
        <w:rPr>
          <w:rFonts w:hint="eastAsia" w:ascii="仿宋_GB2312" w:hAnsi="仿宋_GB2312" w:eastAsia="仿宋_GB2312" w:cs="仿宋_GB2312"/>
          <w:color w:val="auto"/>
          <w:spacing w:val="-4"/>
          <w:sz w:val="32"/>
          <w:szCs w:val="32"/>
          <w:lang w:val="en-US" w:eastAsia="zh-CN"/>
        </w:rPr>
        <w:t>征收机关</w:t>
      </w:r>
      <w:r>
        <w:rPr>
          <w:rFonts w:hint="eastAsia" w:ascii="仿宋_GB2312" w:hAnsi="仿宋_GB2312" w:eastAsia="仿宋_GB2312" w:cs="仿宋_GB2312"/>
          <w:color w:val="auto"/>
          <w:spacing w:val="-4"/>
          <w:sz w:val="32"/>
          <w:szCs w:val="32"/>
          <w:lang w:eastAsia="zh-CN"/>
        </w:rPr>
        <w:t>开具缴款通知书，</w:t>
      </w:r>
      <w:r>
        <w:rPr>
          <w:rFonts w:hint="eastAsia" w:ascii="仿宋_GB2312" w:hAnsi="仿宋_GB2312" w:eastAsia="仿宋_GB2312" w:cs="仿宋_GB2312"/>
          <w:color w:val="auto"/>
          <w:kern w:val="21"/>
          <w:sz w:val="32"/>
          <w:szCs w:val="32"/>
          <w:lang w:eastAsia="zh-CN"/>
        </w:rPr>
        <w:t>乙方收到缴款通知书</w:t>
      </w:r>
      <w:r>
        <w:rPr>
          <w:rFonts w:hint="eastAsia" w:ascii="仿宋_GB2312" w:hAnsi="仿宋_GB2312" w:eastAsia="仿宋_GB2312" w:cs="仿宋_GB2312"/>
          <w:color w:val="auto"/>
          <w:kern w:val="21"/>
          <w:sz w:val="32"/>
          <w:szCs w:val="32"/>
          <w:lang w:val="en-US" w:eastAsia="zh-CN"/>
        </w:rPr>
        <w:t>之日起</w:t>
      </w:r>
      <w:r>
        <w:rPr>
          <w:rFonts w:hint="eastAsia" w:ascii="仿宋_GB2312" w:hAnsi="仿宋_GB2312" w:eastAsia="仿宋_GB2312" w:cs="仿宋_GB2312"/>
          <w:color w:val="auto"/>
          <w:kern w:val="21"/>
          <w:sz w:val="32"/>
          <w:szCs w:val="32"/>
          <w:lang w:eastAsia="zh-CN"/>
        </w:rPr>
        <w:t>30日内，按缴款通知书及时缴纳矿业权出让收益</w:t>
      </w:r>
      <w:r>
        <w:rPr>
          <w:rFonts w:hint="eastAsia" w:ascii="仿宋_GB2312" w:hAnsi="仿宋_GB2312" w:eastAsia="仿宋_GB2312" w:cs="仿宋_GB2312"/>
          <w:color w:val="auto"/>
          <w:kern w:val="21"/>
          <w:sz w:val="32"/>
          <w:szCs w:val="32"/>
          <w:lang w:val="en-US" w:eastAsia="zh-CN"/>
        </w:rPr>
        <w:t>价款</w:t>
      </w:r>
      <w:r>
        <w:rPr>
          <w:rFonts w:hint="eastAsia" w:ascii="仿宋_GB2312" w:hAnsi="仿宋_GB2312" w:eastAsia="仿宋_GB2312" w:cs="仿宋_GB2312"/>
          <w:color w:val="000000" w:themeColor="text1"/>
          <w:kern w:val="21"/>
          <w:sz w:val="32"/>
          <w:szCs w:val="32"/>
          <w:lang w:eastAsia="zh-CN"/>
          <w14:textFill>
            <w14:solidFill>
              <w14:schemeClr w14:val="tx1"/>
            </w14:solidFill>
          </w14:textFill>
        </w:rPr>
        <w:t>。</w:t>
      </w:r>
    </w:p>
    <w:p w14:paraId="6236E54D">
      <w:pPr>
        <w:keepNext w:val="0"/>
        <w:keepLines w:val="0"/>
        <w:pageBreakBefore w:val="0"/>
        <w:wordWrap/>
        <w:overflowPunct/>
        <w:bidi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如涉及动用采矿权范围内未有偿处置的资源量的，应按规定缴纳采矿权出让收益。</w:t>
      </w:r>
    </w:p>
    <w:p w14:paraId="298B5ADC">
      <w:pPr>
        <w:keepNext w:val="0"/>
        <w:keepLines w:val="0"/>
        <w:pageBreakBefore w:val="0"/>
        <w:wordWrap/>
        <w:overflowPunct/>
        <w:bidi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乙方未按时足额缴纳矿业权出让收益</w:t>
      </w:r>
      <w:r>
        <w:rPr>
          <w:rFonts w:hint="eastAsia" w:ascii="仿宋_GB2312" w:hAnsi="仿宋_GB2312" w:eastAsia="仿宋_GB2312" w:cs="仿宋_GB2312"/>
          <w:sz w:val="32"/>
          <w:szCs w:val="32"/>
          <w:lang w:val="en-US" w:eastAsia="zh-CN"/>
        </w:rPr>
        <w:t>价款</w:t>
      </w:r>
      <w:r>
        <w:rPr>
          <w:rFonts w:hint="eastAsia" w:ascii="仿宋_GB2312" w:hAnsi="仿宋_GB2312" w:eastAsia="仿宋_GB2312" w:cs="仿宋_GB2312"/>
          <w:sz w:val="32"/>
          <w:szCs w:val="32"/>
        </w:rPr>
        <w:t>的，从违约之日起每日加收千分之二的违约金，加收的违约金不超过欠缴金额本金。</w:t>
      </w:r>
    </w:p>
    <w:p w14:paraId="5872B31A">
      <w:pPr>
        <w:keepNext w:val="0"/>
        <w:keepLines w:val="0"/>
        <w:pageBreakBefore w:val="0"/>
        <w:kinsoku/>
        <w:wordWrap/>
        <w:overflowPunct/>
        <w:topLinePunct/>
        <w:autoSpaceDE/>
        <w:autoSpaceDN/>
        <w:bidi w:val="0"/>
        <w:adjustRightInd/>
        <w:snapToGrid/>
        <w:spacing w:line="560" w:lineRule="exact"/>
        <w:ind w:firstLine="640" w:firstLineChars="200"/>
        <w:textAlignment w:val="baseline"/>
        <w:outlineLvl w:val="0"/>
        <w:rPr>
          <w:rFonts w:hint="eastAsia" w:ascii="黑体" w:hAnsi="黑体" w:eastAsia="黑体" w:cs="黑体"/>
          <w:color w:val="auto"/>
          <w:sz w:val="32"/>
          <w:szCs w:val="32"/>
          <w:lang w:val="en-US" w:eastAsia="zh-CN"/>
        </w:rPr>
      </w:pPr>
      <w:r>
        <w:rPr>
          <w:rFonts w:hint="eastAsia" w:ascii="黑体" w:hAnsi="黑体" w:eastAsia="黑体" w:cs="黑体"/>
          <w:b w:val="0"/>
          <w:bCs w:val="0"/>
          <w:sz w:val="32"/>
          <w:szCs w:val="32"/>
          <w:lang w:val="en-US" w:eastAsia="zh-CN"/>
        </w:rPr>
        <w:t xml:space="preserve">第六条 </w:t>
      </w:r>
      <w:r>
        <w:rPr>
          <w:rFonts w:hint="eastAsia" w:ascii="黑体" w:hAnsi="黑体" w:eastAsia="黑体" w:cs="黑体"/>
          <w:b w:val="0"/>
          <w:bCs w:val="0"/>
          <w:sz w:val="32"/>
          <w:szCs w:val="32"/>
          <w:lang w:eastAsia="zh-CN"/>
        </w:rPr>
        <w:t>采矿权出让资产包</w:t>
      </w:r>
      <w:r>
        <w:rPr>
          <w:rFonts w:hint="eastAsia" w:ascii="黑体" w:hAnsi="黑体" w:eastAsia="黑体" w:cs="黑体"/>
          <w:b w:val="0"/>
          <w:bCs w:val="0"/>
          <w:sz w:val="32"/>
          <w:szCs w:val="32"/>
          <w:lang w:val="en-US" w:eastAsia="zh-CN"/>
        </w:rPr>
        <w:t>款项支付方式</w:t>
      </w:r>
    </w:p>
    <w:p w14:paraId="4D6F9F34">
      <w:pPr>
        <w:pStyle w:val="6"/>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baseline"/>
        <w:outlineLvl w:val="4"/>
        <w:rPr>
          <w:rFonts w:hint="eastAsia" w:ascii="仿宋_GB2312" w:hAnsi="仿宋_GB2312" w:eastAsia="仿宋_GB2312" w:cs="仿宋_GB2312"/>
          <w:color w:val="auto"/>
          <w:w w:val="95"/>
          <w:kern w:val="10"/>
          <w:sz w:val="32"/>
          <w:szCs w:val="32"/>
          <w:lang w:eastAsia="zh-CN"/>
        </w:rPr>
      </w:pPr>
      <w:r>
        <w:rPr>
          <w:rFonts w:hint="eastAsia" w:ascii="仿宋_GB2312" w:hAnsi="仿宋_GB2312" w:eastAsia="仿宋_GB2312" w:cs="仿宋_GB2312"/>
          <w:color w:val="auto"/>
          <w:kern w:val="10"/>
          <w:sz w:val="32"/>
          <w:szCs w:val="32"/>
          <w:lang w:val="en-US" w:eastAsia="zh-CN"/>
        </w:rPr>
        <w:t>1.</w:t>
      </w:r>
      <w:r>
        <w:rPr>
          <w:rFonts w:hint="eastAsia" w:ascii="仿宋_GB2312" w:hAnsi="仿宋_GB2312" w:eastAsia="仿宋_GB2312" w:cs="仿宋_GB2312"/>
          <w:color w:val="auto"/>
          <w:kern w:val="10"/>
          <w:sz w:val="32"/>
          <w:szCs w:val="32"/>
          <w:lang w:eastAsia="zh-CN"/>
        </w:rPr>
        <w:t>本采矿权设置</w:t>
      </w:r>
      <w:r>
        <w:rPr>
          <w:rFonts w:hint="eastAsia" w:ascii="仿宋_GB2312" w:hAnsi="仿宋_GB2312" w:eastAsia="仿宋_GB2312" w:cs="仿宋_GB2312"/>
          <w:color w:val="auto"/>
          <w:kern w:val="10"/>
          <w:sz w:val="32"/>
          <w:szCs w:val="32"/>
          <w:lang w:val="en-US" w:eastAsia="zh-CN"/>
        </w:rPr>
        <w:t>1</w:t>
      </w:r>
      <w:r>
        <w:rPr>
          <w:rFonts w:hint="eastAsia" w:ascii="仿宋_GB2312" w:hAnsi="仿宋_GB2312" w:eastAsia="仿宋_GB2312" w:cs="仿宋_GB2312"/>
          <w:color w:val="auto"/>
          <w:kern w:val="10"/>
          <w:sz w:val="32"/>
          <w:szCs w:val="32"/>
          <w:lang w:eastAsia="zh-CN"/>
        </w:rPr>
        <w:t>个资产包。</w:t>
      </w:r>
      <w:r>
        <w:rPr>
          <w:rFonts w:hint="eastAsia" w:ascii="仿宋_GB2312" w:hAnsi="仿宋_GB2312" w:cs="仿宋_GB2312"/>
          <w:bCs/>
          <w:color w:val="auto"/>
          <w:kern w:val="10"/>
          <w:szCs w:val="32"/>
          <w:lang w:eastAsia="zh-CN"/>
        </w:rPr>
        <w:t>采矿权竞得人</w:t>
      </w:r>
      <w:r>
        <w:rPr>
          <w:rFonts w:hint="eastAsia" w:ascii="仿宋_GB2312" w:hAnsi="仿宋_GB2312" w:cs="仿宋_GB2312"/>
          <w:bCs/>
          <w:color w:val="auto"/>
          <w:kern w:val="10"/>
          <w:szCs w:val="32"/>
          <w:lang w:val="en-US" w:eastAsia="zh-CN"/>
        </w:rPr>
        <w:t>与遂溪县自然资源局</w:t>
      </w:r>
      <w:r>
        <w:rPr>
          <w:rFonts w:hint="eastAsia" w:ascii="仿宋_GB2312" w:hAnsi="仿宋_GB2312" w:cs="仿宋_GB2312"/>
          <w:bCs/>
          <w:color w:val="auto"/>
          <w:kern w:val="10"/>
          <w:szCs w:val="32"/>
          <w:lang w:eastAsia="zh-CN"/>
        </w:rPr>
        <w:t>签订《</w:t>
      </w:r>
      <w:r>
        <w:rPr>
          <w:rFonts w:hint="eastAsia" w:ascii="仿宋_GB2312" w:hAnsi="仿宋_GB2312" w:eastAsia="仿宋_GB2312" w:cs="仿宋_GB2312"/>
          <w:color w:val="auto"/>
          <w:kern w:val="10"/>
          <w:sz w:val="32"/>
          <w:szCs w:val="32"/>
          <w:lang w:eastAsia="zh-CN"/>
        </w:rPr>
        <w:t>采矿权出让</w:t>
      </w:r>
      <w:r>
        <w:rPr>
          <w:rFonts w:hint="eastAsia" w:ascii="仿宋_GB2312" w:hAnsi="仿宋_GB2312" w:cs="仿宋_GB2312"/>
          <w:bCs/>
          <w:color w:val="auto"/>
          <w:kern w:val="10"/>
          <w:szCs w:val="32"/>
          <w:lang w:eastAsia="zh-CN"/>
        </w:rPr>
        <w:t>合同》后，在收到采矿权出让</w:t>
      </w:r>
      <w:r>
        <w:rPr>
          <w:rFonts w:hint="eastAsia" w:ascii="仿宋_GB2312" w:hAnsi="仿宋_GB2312" w:eastAsia="仿宋_GB2312" w:cs="仿宋_GB2312"/>
          <w:color w:val="auto"/>
          <w:kern w:val="21"/>
          <w:sz w:val="32"/>
          <w:szCs w:val="32"/>
          <w:lang w:eastAsia="zh-CN"/>
        </w:rPr>
        <w:t>资产包</w:t>
      </w:r>
      <w:r>
        <w:rPr>
          <w:rFonts w:hint="eastAsia" w:ascii="仿宋_GB2312" w:hAnsi="仿宋_GB2312" w:cs="仿宋_GB2312"/>
          <w:bCs/>
          <w:color w:val="auto"/>
          <w:kern w:val="10"/>
          <w:szCs w:val="32"/>
          <w:lang w:eastAsia="zh-CN"/>
        </w:rPr>
        <w:t>缴款通知书</w:t>
      </w:r>
      <w:r>
        <w:rPr>
          <w:rFonts w:hint="eastAsia" w:ascii="仿宋_GB2312" w:hAnsi="仿宋_GB2312" w:cs="仿宋_GB2312"/>
          <w:bCs/>
          <w:color w:val="auto"/>
          <w:kern w:val="10"/>
          <w:szCs w:val="32"/>
          <w:lang w:val="en-US" w:eastAsia="zh-CN"/>
        </w:rPr>
        <w:t>之日起</w:t>
      </w:r>
      <w:r>
        <w:rPr>
          <w:rFonts w:hint="eastAsia" w:ascii="仿宋_GB2312" w:hAnsi="仿宋_GB2312" w:cs="仿宋_GB2312"/>
          <w:bCs/>
          <w:color w:val="auto"/>
          <w:kern w:val="10"/>
          <w:szCs w:val="32"/>
          <w:lang w:eastAsia="zh-CN"/>
        </w:rPr>
        <w:t>30日内，须</w:t>
      </w:r>
      <w:r>
        <w:rPr>
          <w:rFonts w:hint="eastAsia" w:ascii="仿宋_GB2312" w:hAnsi="仿宋_GB2312" w:eastAsia="仿宋_GB2312" w:cs="仿宋_GB2312"/>
          <w:color w:val="auto"/>
          <w:kern w:val="10"/>
          <w:sz w:val="32"/>
          <w:szCs w:val="32"/>
          <w:lang w:eastAsia="zh-CN"/>
        </w:rPr>
        <w:t>一次性</w:t>
      </w:r>
      <w:r>
        <w:rPr>
          <w:rFonts w:ascii="Times New Roman" w:hAnsi="仿宋_GB2312" w:eastAsia="仿宋_GB2312" w:cs="Times New Roman"/>
          <w:color w:val="auto"/>
          <w:sz w:val="32"/>
          <w:szCs w:val="32"/>
          <w:lang w:eastAsia="zh-CN"/>
        </w:rPr>
        <w:t>支付</w:t>
      </w:r>
      <w:r>
        <w:rPr>
          <w:rFonts w:hint="eastAsia" w:ascii="仿宋_GB2312" w:hAnsi="仿宋_GB2312" w:eastAsia="仿宋_GB2312" w:cs="仿宋_GB2312"/>
          <w:color w:val="auto"/>
          <w:w w:val="95"/>
          <w:kern w:val="10"/>
          <w:sz w:val="32"/>
          <w:szCs w:val="32"/>
          <w:lang w:eastAsia="zh-CN"/>
        </w:rPr>
        <w:t>“矿区内范围</w:t>
      </w:r>
      <w:r>
        <w:rPr>
          <w:rFonts w:hint="eastAsia" w:ascii="Times New Roman" w:hAnsi="仿宋_GB2312" w:eastAsia="仿宋_GB2312" w:cs="Times New Roman"/>
          <w:color w:val="auto"/>
          <w:w w:val="95"/>
          <w:kern w:val="21"/>
          <w:sz w:val="32"/>
          <w:szCs w:val="32"/>
          <w:lang w:eastAsia="zh-CN"/>
        </w:rPr>
        <w:t>采矿用地租金</w:t>
      </w:r>
      <w:r>
        <w:rPr>
          <w:rFonts w:hint="eastAsia" w:ascii="Times New Roman" w:hAnsi="仿宋_GB2312" w:eastAsia="仿宋_GB2312" w:cs="Times New Roman"/>
          <w:color w:val="auto"/>
          <w:w w:val="95"/>
          <w:sz w:val="32"/>
          <w:szCs w:val="32"/>
          <w:lang w:eastAsia="zh-CN"/>
        </w:rPr>
        <w:t>及</w:t>
      </w:r>
      <w:r>
        <w:rPr>
          <w:rFonts w:hint="eastAsia" w:ascii="仿宋_GB2312" w:hAnsi="仿宋_GB2312" w:eastAsia="仿宋_GB2312" w:cs="仿宋_GB2312"/>
          <w:color w:val="auto"/>
          <w:w w:val="95"/>
          <w:kern w:val="10"/>
          <w:sz w:val="32"/>
          <w:szCs w:val="32"/>
          <w:lang w:eastAsia="zh-CN"/>
        </w:rPr>
        <w:t>地上附着物、青苗补偿费资产包</w:t>
      </w:r>
      <w:r>
        <w:rPr>
          <w:rFonts w:ascii="仿宋_GB2312" w:hAnsi="仿宋_GB2312" w:eastAsia="仿宋_GB2312" w:cs="仿宋_GB2312"/>
          <w:color w:val="auto"/>
          <w:w w:val="95"/>
          <w:kern w:val="10"/>
          <w:sz w:val="32"/>
          <w:szCs w:val="32"/>
          <w:lang w:eastAsia="zh-CN"/>
        </w:rPr>
        <w:t>”</w:t>
      </w:r>
      <w:r>
        <w:rPr>
          <w:rFonts w:hint="eastAsia" w:ascii="仿宋_GB2312" w:hAnsi="仿宋_GB2312" w:eastAsia="仿宋_GB2312" w:cs="仿宋_GB2312"/>
          <w:color w:val="auto"/>
          <w:w w:val="95"/>
          <w:kern w:val="10"/>
          <w:sz w:val="32"/>
          <w:szCs w:val="32"/>
          <w:lang w:val="en-US" w:eastAsia="zh-CN"/>
        </w:rPr>
        <w:t>价款</w:t>
      </w:r>
      <w:r>
        <w:rPr>
          <w:rFonts w:hint="eastAsia" w:ascii="仿宋_GB2312" w:hAnsi="仿宋_GB2312" w:eastAsia="仿宋_GB2312" w:cs="仿宋_GB2312"/>
          <w:color w:val="auto"/>
          <w:w w:val="95"/>
          <w:kern w:val="10"/>
          <w:sz w:val="32"/>
          <w:szCs w:val="32"/>
          <w:lang w:eastAsia="zh-CN"/>
        </w:rPr>
        <w:t>。</w:t>
      </w:r>
    </w:p>
    <w:p w14:paraId="6B6A284F">
      <w:pPr>
        <w:pStyle w:val="6"/>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outlineLvl w:val="4"/>
        <w:rPr>
          <w:rFonts w:ascii="Times New Roman" w:hAnsi="仿宋_GB2312" w:eastAsia="仿宋_GB2312" w:cs="Times New Roman"/>
          <w:color w:val="auto"/>
          <w:kern w:val="21"/>
          <w:sz w:val="32"/>
          <w:szCs w:val="32"/>
          <w:lang w:eastAsia="zh-CN"/>
        </w:rPr>
      </w:pPr>
      <w:r>
        <w:rPr>
          <w:rFonts w:hint="eastAsia" w:ascii="仿宋_GB2312" w:hAnsi="仿宋_GB2312" w:eastAsia="仿宋_GB2312" w:cs="仿宋_GB2312"/>
          <w:color w:val="auto"/>
          <w:kern w:val="10"/>
          <w:sz w:val="32"/>
          <w:szCs w:val="32"/>
          <w:lang w:val="en-US" w:eastAsia="zh-CN"/>
        </w:rPr>
        <w:t>2.“</w:t>
      </w:r>
      <w:r>
        <w:rPr>
          <w:rFonts w:hint="eastAsia" w:ascii="仿宋_GB2312" w:hAnsi="仿宋_GB2312" w:eastAsia="仿宋_GB2312" w:cs="仿宋_GB2312"/>
          <w:color w:val="auto"/>
          <w:kern w:val="10"/>
          <w:sz w:val="32"/>
          <w:szCs w:val="32"/>
          <w:lang w:eastAsia="zh-CN"/>
        </w:rPr>
        <w:t>矿区范围内</w:t>
      </w:r>
      <w:r>
        <w:rPr>
          <w:rFonts w:hint="eastAsia" w:ascii="Times New Roman" w:hAnsi="仿宋_GB2312" w:eastAsia="仿宋_GB2312" w:cs="Times New Roman"/>
          <w:color w:val="auto"/>
          <w:kern w:val="21"/>
          <w:sz w:val="32"/>
          <w:szCs w:val="32"/>
          <w:lang w:eastAsia="zh-CN"/>
        </w:rPr>
        <w:t>采矿用地租金及</w:t>
      </w:r>
      <w:r>
        <w:rPr>
          <w:rFonts w:hint="eastAsia" w:ascii="仿宋_GB2312" w:hAnsi="仿宋_GB2312" w:eastAsia="仿宋_GB2312" w:cs="仿宋_GB2312"/>
          <w:color w:val="auto"/>
          <w:kern w:val="10"/>
          <w:sz w:val="32"/>
          <w:szCs w:val="32"/>
          <w:lang w:eastAsia="zh-CN"/>
        </w:rPr>
        <w:t>地上附着物、青苗补偿费资产包</w:t>
      </w:r>
      <w:r>
        <w:rPr>
          <w:rFonts w:hint="eastAsia" w:ascii="仿宋_GB2312" w:hAnsi="仿宋_GB2312" w:eastAsia="仿宋_GB2312" w:cs="仿宋_GB2312"/>
          <w:color w:val="auto"/>
          <w:kern w:val="10"/>
          <w:sz w:val="32"/>
          <w:szCs w:val="32"/>
          <w:lang w:val="en-US" w:eastAsia="zh-CN"/>
        </w:rPr>
        <w:t>”</w:t>
      </w:r>
      <w:r>
        <w:rPr>
          <w:rFonts w:hint="eastAsia" w:ascii="Times New Roman" w:hAnsi="仿宋_GB2312" w:eastAsia="仿宋_GB2312" w:cs="Times New Roman"/>
          <w:color w:val="auto"/>
          <w:kern w:val="21"/>
          <w:sz w:val="32"/>
          <w:szCs w:val="32"/>
          <w:lang w:eastAsia="zh-CN"/>
        </w:rPr>
        <w:t>经有资质的</w:t>
      </w:r>
      <w:r>
        <w:rPr>
          <w:rFonts w:hint="eastAsia" w:ascii="Times New Roman" w:hAnsi="仿宋_GB2312" w:eastAsia="仿宋_GB2312" w:cs="Times New Roman"/>
          <w:color w:val="auto"/>
          <w:kern w:val="21"/>
          <w:sz w:val="32"/>
          <w:szCs w:val="32"/>
          <w:lang w:val="en-US" w:eastAsia="zh-CN"/>
        </w:rPr>
        <w:t>三家</w:t>
      </w:r>
      <w:r>
        <w:rPr>
          <w:rFonts w:hint="eastAsia" w:ascii="Times New Roman" w:hAnsi="仿宋_GB2312" w:eastAsia="仿宋_GB2312" w:cs="Times New Roman"/>
          <w:color w:val="auto"/>
          <w:kern w:val="21"/>
          <w:sz w:val="32"/>
          <w:szCs w:val="32"/>
          <w:lang w:eastAsia="zh-CN"/>
        </w:rPr>
        <w:t>评估公司评估并公示。采矿用地租赁期限从采矿许可证生效之日起计算至采矿权有效期结束。</w:t>
      </w:r>
      <w:r>
        <w:rPr>
          <w:rFonts w:hint="eastAsia" w:ascii="Times New Roman" w:hAnsi="仿宋_GB2312" w:eastAsia="仿宋_GB2312" w:cs="Times New Roman"/>
          <w:color w:val="auto"/>
          <w:kern w:val="21"/>
          <w:sz w:val="32"/>
          <w:szCs w:val="32"/>
          <w:lang w:val="en-US" w:eastAsia="zh-CN"/>
        </w:rPr>
        <w:t>矿区面积约为0.1656k㎡(约248.4亩)，</w:t>
      </w:r>
      <w:r>
        <w:rPr>
          <w:rFonts w:hint="eastAsia" w:ascii="Times New Roman" w:hAnsi="仿宋_GB2312" w:eastAsia="仿宋_GB2312" w:cs="Times New Roman"/>
          <w:color w:val="auto"/>
          <w:kern w:val="21"/>
          <w:sz w:val="32"/>
          <w:szCs w:val="32"/>
          <w:lang w:eastAsia="zh-CN"/>
        </w:rPr>
        <w:t>使用权人为</w:t>
      </w:r>
      <w:r>
        <w:rPr>
          <w:rFonts w:hint="eastAsia" w:ascii="仿宋_GB2312" w:hAnsi="仿宋_GB2312" w:eastAsia="仿宋_GB2312" w:cs="仿宋_GB2312"/>
          <w:color w:val="auto"/>
          <w:sz w:val="32"/>
          <w:szCs w:val="32"/>
          <w:lang w:eastAsia="zh-CN"/>
        </w:rPr>
        <w:t>广东省遂溪县港门镇枫树村北地经济合作社，</w:t>
      </w:r>
      <w:r>
        <w:rPr>
          <w:rFonts w:hint="eastAsia" w:ascii="仿宋_GB2312" w:hAnsi="仿宋_GB2312" w:eastAsia="仿宋_GB2312" w:cs="仿宋_GB2312"/>
          <w:color w:val="auto"/>
          <w:spacing w:val="6"/>
          <w:kern w:val="10"/>
          <w:sz w:val="32"/>
          <w:szCs w:val="32"/>
          <w:lang w:eastAsia="zh-CN"/>
        </w:rPr>
        <w:t>“矿区范围内</w:t>
      </w:r>
      <w:r>
        <w:rPr>
          <w:rFonts w:hint="eastAsia" w:ascii="Times New Roman" w:hAnsi="仿宋_GB2312" w:eastAsia="仿宋_GB2312" w:cs="Times New Roman"/>
          <w:color w:val="auto"/>
          <w:spacing w:val="6"/>
          <w:kern w:val="21"/>
          <w:sz w:val="32"/>
          <w:szCs w:val="32"/>
          <w:lang w:eastAsia="zh-CN"/>
        </w:rPr>
        <w:t>采矿用地租金”</w:t>
      </w:r>
      <w:r>
        <w:rPr>
          <w:rFonts w:hint="eastAsia" w:ascii="Times New Roman" w:hAnsi="仿宋_GB2312" w:eastAsia="仿宋_GB2312" w:cs="Times New Roman"/>
          <w:color w:val="auto"/>
          <w:spacing w:val="6"/>
          <w:kern w:val="21"/>
          <w:sz w:val="32"/>
          <w:szCs w:val="32"/>
          <w:lang w:val="en-US" w:eastAsia="zh-CN"/>
        </w:rPr>
        <w:t>价值取三家评估价款平均值为（大写）</w:t>
      </w:r>
      <w:r>
        <w:rPr>
          <w:rFonts w:hint="eastAsia" w:ascii="Times New Roman" w:hAnsi="仿宋_GB2312" w:eastAsia="仿宋_GB2312" w:cs="Times New Roman"/>
          <w:color w:val="auto"/>
          <w:spacing w:val="6"/>
          <w:kern w:val="21"/>
          <w:sz w:val="32"/>
          <w:szCs w:val="32"/>
          <w:lang w:eastAsia="zh-CN"/>
        </w:rPr>
        <w:t>：</w:t>
      </w:r>
      <w:r>
        <w:rPr>
          <w:rFonts w:hint="eastAsia" w:ascii="Times New Roman" w:hAnsi="仿宋_GB2312" w:eastAsia="仿宋_GB2312" w:cs="Times New Roman"/>
          <w:color w:val="auto"/>
          <w:spacing w:val="0"/>
          <w:kern w:val="21"/>
          <w:sz w:val="32"/>
          <w:szCs w:val="32"/>
          <w:u w:val="single"/>
          <w:lang w:val="en-US" w:eastAsia="zh-CN"/>
        </w:rPr>
        <w:t>玖佰肆拾柒万壹仟贰佰叁拾元柒角</w:t>
      </w: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kern w:val="21"/>
          <w:sz w:val="32"/>
          <w:szCs w:val="32"/>
          <w:lang w:val="en-US" w:eastAsia="zh-CN"/>
        </w:rPr>
        <w:t>小写：</w:t>
      </w:r>
      <w:r>
        <w:rPr>
          <w:rFonts w:hint="eastAsia" w:ascii="Times New Roman" w:hAnsi="仿宋_GB2312" w:eastAsia="仿宋_GB2312" w:cs="Times New Roman"/>
          <w:color w:val="auto"/>
          <w:kern w:val="21"/>
          <w:sz w:val="32"/>
          <w:szCs w:val="32"/>
          <w:u w:val="single"/>
          <w:lang w:val="en-US" w:eastAsia="zh-CN"/>
        </w:rPr>
        <w:t>9471230.7</w:t>
      </w:r>
      <w:r>
        <w:rPr>
          <w:rFonts w:hint="eastAsia" w:ascii="Times New Roman" w:hAnsi="仿宋_GB2312" w:eastAsia="仿宋_GB2312" w:cs="Times New Roman"/>
          <w:color w:val="auto"/>
          <w:kern w:val="21"/>
          <w:sz w:val="32"/>
          <w:szCs w:val="32"/>
          <w:u w:val="single"/>
          <w:lang w:eastAsia="zh-CN"/>
        </w:rPr>
        <w:t>元</w:t>
      </w:r>
      <w:r>
        <w:rPr>
          <w:rFonts w:hint="eastAsia" w:ascii="Times New Roman" w:hAnsi="仿宋_GB2312" w:eastAsia="仿宋_GB2312" w:cs="Times New Roman"/>
          <w:color w:val="auto"/>
          <w:kern w:val="21"/>
          <w:sz w:val="32"/>
          <w:szCs w:val="32"/>
          <w:lang w:eastAsia="zh-CN"/>
        </w:rPr>
        <w:t>)；“</w:t>
      </w:r>
      <w:r>
        <w:rPr>
          <w:rFonts w:hint="eastAsia" w:ascii="仿宋_GB2312" w:hAnsi="仿宋_GB2312" w:eastAsia="仿宋_GB2312" w:cs="仿宋_GB2312"/>
          <w:color w:val="auto"/>
          <w:kern w:val="10"/>
          <w:sz w:val="32"/>
          <w:szCs w:val="32"/>
          <w:lang w:eastAsia="zh-CN"/>
        </w:rPr>
        <w:t>地上附着物、青苗补偿费”</w:t>
      </w:r>
      <w:r>
        <w:rPr>
          <w:rFonts w:hint="eastAsia" w:ascii="仿宋_GB2312" w:hAnsi="仿宋_GB2312" w:eastAsia="仿宋_GB2312" w:cs="仿宋_GB2312"/>
          <w:color w:val="auto"/>
          <w:kern w:val="10"/>
          <w:sz w:val="32"/>
          <w:szCs w:val="32"/>
          <w:lang w:val="en-US" w:eastAsia="zh-CN"/>
        </w:rPr>
        <w:t>价值</w:t>
      </w:r>
      <w:r>
        <w:rPr>
          <w:rFonts w:hint="eastAsia" w:ascii="Times New Roman" w:hAnsi="仿宋_GB2312" w:eastAsia="仿宋_GB2312" w:cs="Times New Roman"/>
          <w:color w:val="auto"/>
          <w:kern w:val="21"/>
          <w:sz w:val="32"/>
          <w:szCs w:val="32"/>
          <w:lang w:val="en-US" w:eastAsia="zh-CN"/>
        </w:rPr>
        <w:t>取三家评</w:t>
      </w:r>
      <w:r>
        <w:rPr>
          <w:rFonts w:hint="eastAsia" w:ascii="Times New Roman" w:hAnsi="仿宋_GB2312" w:eastAsia="仿宋_GB2312" w:cs="Times New Roman"/>
          <w:color w:val="auto"/>
          <w:spacing w:val="6"/>
          <w:kern w:val="21"/>
          <w:sz w:val="32"/>
          <w:szCs w:val="32"/>
          <w:lang w:val="en-US" w:eastAsia="zh-CN"/>
        </w:rPr>
        <w:t>估价值平均值</w:t>
      </w:r>
      <w:r>
        <w:rPr>
          <w:rFonts w:hint="eastAsia" w:ascii="仿宋_GB2312" w:hAnsi="仿宋_GB2312" w:eastAsia="仿宋_GB2312" w:cs="仿宋_GB2312"/>
          <w:color w:val="auto"/>
          <w:spacing w:val="6"/>
          <w:kern w:val="10"/>
          <w:sz w:val="32"/>
          <w:szCs w:val="32"/>
          <w:lang w:val="en-US" w:eastAsia="zh-CN"/>
        </w:rPr>
        <w:t>为（</w:t>
      </w:r>
      <w:r>
        <w:rPr>
          <w:rFonts w:hint="eastAsia" w:ascii="Times New Roman" w:hAnsi="仿宋_GB2312" w:eastAsia="仿宋_GB2312" w:cs="Times New Roman"/>
          <w:color w:val="auto"/>
          <w:spacing w:val="6"/>
          <w:kern w:val="21"/>
          <w:sz w:val="32"/>
          <w:szCs w:val="32"/>
          <w:lang w:val="en-US" w:eastAsia="zh-CN"/>
        </w:rPr>
        <w:t>大写</w:t>
      </w:r>
      <w:r>
        <w:rPr>
          <w:rFonts w:hint="eastAsia" w:ascii="仿宋_GB2312" w:hAnsi="仿宋_GB2312" w:eastAsia="仿宋_GB2312" w:cs="仿宋_GB2312"/>
          <w:color w:val="auto"/>
          <w:spacing w:val="6"/>
          <w:kern w:val="10"/>
          <w:sz w:val="32"/>
          <w:szCs w:val="32"/>
          <w:lang w:val="en-US" w:eastAsia="zh-CN"/>
        </w:rPr>
        <w:t>）</w:t>
      </w:r>
      <w:r>
        <w:rPr>
          <w:rFonts w:hint="eastAsia" w:ascii="Times New Roman" w:hAnsi="仿宋_GB2312" w:eastAsia="仿宋_GB2312" w:cs="Times New Roman"/>
          <w:color w:val="auto"/>
          <w:spacing w:val="6"/>
          <w:kern w:val="21"/>
          <w:sz w:val="32"/>
          <w:szCs w:val="32"/>
          <w:lang w:eastAsia="zh-CN"/>
        </w:rPr>
        <w:t>：</w:t>
      </w:r>
      <w:r>
        <w:rPr>
          <w:rFonts w:hint="eastAsia" w:ascii="Times New Roman" w:hAnsi="仿宋_GB2312" w:eastAsia="仿宋_GB2312" w:cs="Times New Roman"/>
          <w:color w:val="auto"/>
          <w:spacing w:val="6"/>
          <w:kern w:val="21"/>
          <w:sz w:val="32"/>
          <w:szCs w:val="32"/>
          <w:u w:val="single"/>
          <w:lang w:val="en-US" w:eastAsia="zh-CN"/>
        </w:rPr>
        <w:t>肆佰叁拾叁万伍仟玖佰零贰元叁角</w:t>
      </w: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kern w:val="21"/>
          <w:sz w:val="32"/>
          <w:szCs w:val="32"/>
          <w:lang w:val="en-US" w:eastAsia="zh-CN"/>
        </w:rPr>
        <w:t>小写：</w:t>
      </w:r>
      <w:r>
        <w:rPr>
          <w:rFonts w:hint="eastAsia" w:ascii="Times New Roman" w:hAnsi="仿宋_GB2312" w:eastAsia="仿宋_GB2312" w:cs="Times New Roman"/>
          <w:color w:val="auto"/>
          <w:kern w:val="21"/>
          <w:sz w:val="32"/>
          <w:szCs w:val="32"/>
          <w:u w:val="single"/>
          <w:lang w:val="en-US" w:eastAsia="zh-CN"/>
        </w:rPr>
        <w:t>4335902.3</w:t>
      </w:r>
      <w:r>
        <w:rPr>
          <w:rFonts w:hint="eastAsia" w:ascii="Times New Roman" w:hAnsi="仿宋_GB2312" w:eastAsia="仿宋_GB2312" w:cs="Times New Roman"/>
          <w:color w:val="auto"/>
          <w:kern w:val="21"/>
          <w:sz w:val="32"/>
          <w:szCs w:val="32"/>
          <w:u w:val="single"/>
          <w:lang w:eastAsia="zh-CN"/>
        </w:rPr>
        <w:t xml:space="preserve">元 </w:t>
      </w: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spacing w:val="6"/>
          <w:kern w:val="21"/>
          <w:sz w:val="32"/>
          <w:szCs w:val="32"/>
          <w:lang w:val="en-US" w:eastAsia="zh-CN"/>
        </w:rPr>
        <w:t>每家</w:t>
      </w:r>
      <w:r>
        <w:rPr>
          <w:rFonts w:hint="eastAsia" w:ascii="Times New Roman" w:hAnsi="仿宋_GB2312" w:eastAsia="仿宋_GB2312" w:cs="Times New Roman"/>
          <w:color w:val="auto"/>
          <w:spacing w:val="6"/>
          <w:kern w:val="21"/>
          <w:sz w:val="32"/>
          <w:szCs w:val="32"/>
          <w:lang w:eastAsia="zh-CN"/>
        </w:rPr>
        <w:t>评估公司</w:t>
      </w:r>
      <w:r>
        <w:rPr>
          <w:rFonts w:hint="eastAsia" w:ascii="Times New Roman" w:hAnsi="仿宋_GB2312" w:eastAsia="仿宋_GB2312" w:cs="Times New Roman"/>
          <w:color w:val="auto"/>
          <w:spacing w:val="6"/>
          <w:kern w:val="21"/>
          <w:sz w:val="32"/>
          <w:szCs w:val="32"/>
          <w:lang w:val="en-US" w:eastAsia="zh-CN"/>
        </w:rPr>
        <w:t>编制资产包</w:t>
      </w:r>
      <w:r>
        <w:rPr>
          <w:rFonts w:hint="eastAsia" w:ascii="Times New Roman" w:hAnsi="仿宋_GB2312" w:eastAsia="仿宋_GB2312" w:cs="Times New Roman"/>
          <w:color w:val="auto"/>
          <w:spacing w:val="6"/>
          <w:kern w:val="21"/>
          <w:sz w:val="32"/>
          <w:szCs w:val="32"/>
          <w:lang w:eastAsia="zh-CN"/>
        </w:rPr>
        <w:t>评估报告费用</w:t>
      </w:r>
      <w:r>
        <w:rPr>
          <w:rFonts w:hint="eastAsia" w:ascii="Times New Roman" w:hAnsi="仿宋_GB2312" w:eastAsia="仿宋_GB2312" w:cs="Times New Roman"/>
          <w:color w:val="auto"/>
          <w:spacing w:val="6"/>
          <w:kern w:val="21"/>
          <w:sz w:val="32"/>
          <w:szCs w:val="32"/>
          <w:lang w:val="en-US" w:eastAsia="zh-CN"/>
        </w:rPr>
        <w:t>为</w:t>
      </w:r>
      <w:r>
        <w:rPr>
          <w:rFonts w:hint="eastAsia" w:ascii="仿宋_GB2312" w:hAnsi="仿宋_GB2312" w:eastAsia="仿宋_GB2312" w:cs="仿宋_GB2312"/>
          <w:color w:val="auto"/>
          <w:kern w:val="10"/>
          <w:sz w:val="32"/>
          <w:szCs w:val="32"/>
          <w:lang w:val="en-US" w:eastAsia="zh-CN"/>
        </w:rPr>
        <w:t>（</w:t>
      </w:r>
      <w:r>
        <w:rPr>
          <w:rFonts w:hint="eastAsia" w:ascii="Times New Roman" w:hAnsi="仿宋_GB2312" w:eastAsia="仿宋_GB2312" w:cs="Times New Roman"/>
          <w:color w:val="auto"/>
          <w:kern w:val="21"/>
          <w:sz w:val="32"/>
          <w:szCs w:val="32"/>
          <w:lang w:val="en-US" w:eastAsia="zh-CN"/>
        </w:rPr>
        <w:t>大写</w:t>
      </w:r>
      <w:r>
        <w:rPr>
          <w:rFonts w:hint="eastAsia" w:ascii="仿宋_GB2312" w:hAnsi="仿宋_GB2312" w:eastAsia="仿宋_GB2312" w:cs="仿宋_GB2312"/>
          <w:color w:val="auto"/>
          <w:kern w:val="10"/>
          <w:sz w:val="32"/>
          <w:szCs w:val="32"/>
          <w:lang w:val="en-US" w:eastAsia="zh-CN"/>
        </w:rPr>
        <w:t>）:</w:t>
      </w:r>
      <w:r>
        <w:rPr>
          <w:rFonts w:hint="eastAsia" w:ascii="Times New Roman" w:hAnsi="仿宋_GB2312" w:eastAsia="仿宋_GB2312" w:cs="Times New Roman"/>
          <w:color w:val="auto"/>
          <w:kern w:val="21"/>
          <w:sz w:val="32"/>
          <w:szCs w:val="32"/>
          <w:u w:val="single"/>
          <w:lang w:val="en-US" w:eastAsia="zh-CN"/>
        </w:rPr>
        <w:t>贰万伍仟</w:t>
      </w:r>
      <w:r>
        <w:rPr>
          <w:rFonts w:hint="eastAsia" w:ascii="Times New Roman" w:hAnsi="仿宋_GB2312" w:eastAsia="仿宋_GB2312" w:cs="Times New Roman"/>
          <w:color w:val="auto"/>
          <w:kern w:val="21"/>
          <w:sz w:val="32"/>
          <w:szCs w:val="32"/>
          <w:u w:val="single"/>
          <w:lang w:eastAsia="zh-CN"/>
        </w:rPr>
        <w:t>元整</w:t>
      </w: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kern w:val="21"/>
          <w:sz w:val="32"/>
          <w:szCs w:val="32"/>
          <w:lang w:val="en-US" w:eastAsia="zh-CN"/>
        </w:rPr>
        <w:t>小写：</w:t>
      </w:r>
      <w:r>
        <w:rPr>
          <w:rFonts w:hint="eastAsia" w:ascii="Times New Roman" w:hAnsi="仿宋_GB2312" w:eastAsia="仿宋_GB2312" w:cs="Times New Roman"/>
          <w:color w:val="auto"/>
          <w:kern w:val="21"/>
          <w:sz w:val="32"/>
          <w:szCs w:val="32"/>
          <w:u w:val="single"/>
          <w:lang w:val="en-US" w:eastAsia="zh-CN"/>
        </w:rPr>
        <w:t>25000</w:t>
      </w:r>
      <w:r>
        <w:rPr>
          <w:rFonts w:hint="eastAsia" w:ascii="Times New Roman" w:hAnsi="仿宋_GB2312" w:eastAsia="仿宋_GB2312" w:cs="Times New Roman"/>
          <w:color w:val="auto"/>
          <w:kern w:val="21"/>
          <w:sz w:val="32"/>
          <w:szCs w:val="32"/>
          <w:u w:val="single"/>
          <w:lang w:eastAsia="zh-CN"/>
        </w:rPr>
        <w:t xml:space="preserve">元 </w:t>
      </w: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kern w:val="21"/>
          <w:sz w:val="32"/>
          <w:szCs w:val="32"/>
          <w:lang w:val="en-US" w:eastAsia="zh-CN"/>
        </w:rPr>
        <w:t>三家评估费用总计为</w:t>
      </w:r>
      <w:r>
        <w:rPr>
          <w:rFonts w:hint="eastAsia" w:ascii="仿宋_GB2312" w:hAnsi="仿宋_GB2312" w:eastAsia="仿宋_GB2312" w:cs="仿宋_GB2312"/>
          <w:color w:val="auto"/>
          <w:kern w:val="10"/>
          <w:sz w:val="32"/>
          <w:szCs w:val="32"/>
          <w:lang w:val="en-US" w:eastAsia="zh-CN"/>
        </w:rPr>
        <w:t>（</w:t>
      </w:r>
      <w:r>
        <w:rPr>
          <w:rFonts w:hint="eastAsia" w:ascii="Times New Roman" w:hAnsi="仿宋_GB2312" w:eastAsia="仿宋_GB2312" w:cs="Times New Roman"/>
          <w:color w:val="auto"/>
          <w:kern w:val="21"/>
          <w:sz w:val="32"/>
          <w:szCs w:val="32"/>
          <w:lang w:val="en-US" w:eastAsia="zh-CN"/>
        </w:rPr>
        <w:t>大写</w:t>
      </w:r>
      <w:r>
        <w:rPr>
          <w:rFonts w:hint="eastAsia" w:ascii="仿宋_GB2312" w:hAnsi="仿宋_GB2312" w:eastAsia="仿宋_GB2312" w:cs="仿宋_GB2312"/>
          <w:color w:val="auto"/>
          <w:kern w:val="10"/>
          <w:sz w:val="32"/>
          <w:szCs w:val="32"/>
          <w:lang w:val="en-US" w:eastAsia="zh-CN"/>
        </w:rPr>
        <w:t>）:</w:t>
      </w:r>
      <w:r>
        <w:rPr>
          <w:rFonts w:hint="eastAsia" w:ascii="仿宋_GB2312" w:hAnsi="仿宋_GB2312" w:eastAsia="仿宋_GB2312" w:cs="仿宋_GB2312"/>
          <w:color w:val="auto"/>
          <w:kern w:val="10"/>
          <w:sz w:val="32"/>
          <w:szCs w:val="32"/>
          <w:u w:val="single"/>
          <w:lang w:val="en-US" w:eastAsia="zh-CN"/>
        </w:rPr>
        <w:t>柒万伍仟元整</w:t>
      </w:r>
      <w:r>
        <w:rPr>
          <w:rFonts w:hint="eastAsia" w:ascii="仿宋_GB2312" w:hAnsi="仿宋_GB2312" w:eastAsia="仿宋_GB2312" w:cs="仿宋_GB2312"/>
          <w:color w:val="auto"/>
          <w:kern w:val="10"/>
          <w:sz w:val="32"/>
          <w:szCs w:val="32"/>
          <w:lang w:val="en-US" w:eastAsia="zh-CN"/>
        </w:rPr>
        <w:t>（</w:t>
      </w:r>
      <w:r>
        <w:rPr>
          <w:rFonts w:hint="eastAsia" w:ascii="Times New Roman" w:hAnsi="仿宋_GB2312" w:eastAsia="仿宋_GB2312" w:cs="Times New Roman"/>
          <w:color w:val="auto"/>
          <w:kern w:val="21"/>
          <w:sz w:val="32"/>
          <w:szCs w:val="32"/>
          <w:u w:val="single"/>
          <w:lang w:eastAsia="zh-CN"/>
        </w:rPr>
        <w:t>小写：</w:t>
      </w:r>
      <w:r>
        <w:rPr>
          <w:rFonts w:hint="eastAsia" w:ascii="Times New Roman" w:hAnsi="仿宋_GB2312" w:eastAsia="仿宋_GB2312" w:cs="Times New Roman"/>
          <w:color w:val="auto"/>
          <w:kern w:val="21"/>
          <w:sz w:val="32"/>
          <w:szCs w:val="32"/>
          <w:u w:val="single"/>
          <w:lang w:val="en-US" w:eastAsia="zh-CN"/>
        </w:rPr>
        <w:t>75000</w:t>
      </w:r>
      <w:r>
        <w:rPr>
          <w:rFonts w:hint="eastAsia" w:ascii="Times New Roman" w:hAnsi="仿宋_GB2312" w:eastAsia="仿宋_GB2312" w:cs="Times New Roman"/>
          <w:color w:val="auto"/>
          <w:kern w:val="21"/>
          <w:sz w:val="32"/>
          <w:szCs w:val="32"/>
          <w:u w:val="single"/>
          <w:lang w:eastAsia="zh-CN"/>
        </w:rPr>
        <w:t>元</w:t>
      </w:r>
      <w:r>
        <w:rPr>
          <w:rFonts w:hint="eastAsia" w:ascii="Times New Roman" w:hAnsi="仿宋_GB2312" w:eastAsia="仿宋_GB2312" w:cs="Times New Roman"/>
          <w:color w:val="auto"/>
          <w:kern w:val="21"/>
          <w:sz w:val="32"/>
          <w:szCs w:val="32"/>
          <w:u w:val="single"/>
          <w:lang w:val="en-US" w:eastAsia="zh-CN"/>
        </w:rPr>
        <w:t>整</w:t>
      </w:r>
      <w:r>
        <w:rPr>
          <w:rFonts w:hint="eastAsia" w:ascii="Times New Roman" w:hAnsi="仿宋_GB2312" w:eastAsia="仿宋_GB2312" w:cs="Times New Roman"/>
          <w:color w:val="auto"/>
          <w:kern w:val="21"/>
          <w:sz w:val="32"/>
          <w:szCs w:val="32"/>
          <w:lang w:eastAsia="zh-CN"/>
        </w:rPr>
        <w:t>)，将该笔评估费用列入“</w:t>
      </w:r>
      <w:r>
        <w:rPr>
          <w:rFonts w:hint="eastAsia" w:ascii="仿宋_GB2312" w:hAnsi="仿宋_GB2312" w:eastAsia="仿宋_GB2312" w:cs="仿宋_GB2312"/>
          <w:color w:val="auto"/>
          <w:kern w:val="10"/>
          <w:sz w:val="32"/>
          <w:szCs w:val="32"/>
          <w:lang w:eastAsia="zh-CN"/>
        </w:rPr>
        <w:t>矿区范围内</w:t>
      </w:r>
      <w:r>
        <w:rPr>
          <w:rFonts w:hint="eastAsia" w:ascii="Times New Roman" w:hAnsi="仿宋_GB2312" w:eastAsia="仿宋_GB2312" w:cs="Times New Roman"/>
          <w:color w:val="auto"/>
          <w:kern w:val="21"/>
          <w:sz w:val="32"/>
          <w:szCs w:val="32"/>
          <w:lang w:eastAsia="zh-CN"/>
        </w:rPr>
        <w:t>采矿用地租金</w:t>
      </w:r>
      <w:r>
        <w:rPr>
          <w:rFonts w:hint="eastAsia" w:ascii="Times New Roman" w:hAnsi="仿宋_GB2312" w:eastAsia="仿宋_GB2312" w:cs="Times New Roman"/>
          <w:color w:val="auto"/>
          <w:sz w:val="32"/>
          <w:szCs w:val="32"/>
          <w:lang w:eastAsia="zh-CN"/>
        </w:rPr>
        <w:t>及</w:t>
      </w:r>
      <w:r>
        <w:rPr>
          <w:rFonts w:hint="eastAsia" w:ascii="仿宋_GB2312" w:hAnsi="仿宋_GB2312" w:eastAsia="仿宋_GB2312" w:cs="仿宋_GB2312"/>
          <w:color w:val="auto"/>
          <w:kern w:val="10"/>
          <w:sz w:val="32"/>
          <w:szCs w:val="32"/>
          <w:lang w:eastAsia="zh-CN"/>
        </w:rPr>
        <w:t>地上附着物、青苗补偿费资产包</w:t>
      </w:r>
      <w:r>
        <w:rPr>
          <w:rFonts w:hint="eastAsia" w:ascii="Times New Roman" w:hAnsi="仿宋_GB2312" w:eastAsia="仿宋_GB2312" w:cs="Times New Roman"/>
          <w:color w:val="auto"/>
          <w:kern w:val="21"/>
          <w:sz w:val="32"/>
          <w:szCs w:val="32"/>
          <w:lang w:eastAsia="zh-CN"/>
        </w:rPr>
        <w:t>”，</w:t>
      </w:r>
      <w:r>
        <w:rPr>
          <w:rFonts w:hint="eastAsia" w:ascii="仿宋_GB2312" w:hAnsi="仿宋_GB2312" w:eastAsia="仿宋_GB2312" w:cs="仿宋_GB2312"/>
          <w:color w:val="auto"/>
          <w:kern w:val="10"/>
          <w:sz w:val="32"/>
          <w:szCs w:val="32"/>
          <w:lang w:eastAsia="zh-CN"/>
        </w:rPr>
        <w:t>资产包</w:t>
      </w:r>
      <w:r>
        <w:rPr>
          <w:rFonts w:hint="eastAsia" w:ascii="仿宋_GB2312" w:hAnsi="仿宋_GB2312" w:eastAsia="仿宋_GB2312" w:cs="仿宋_GB2312"/>
          <w:color w:val="auto"/>
          <w:kern w:val="10"/>
          <w:sz w:val="32"/>
          <w:szCs w:val="32"/>
          <w:lang w:val="en-US" w:eastAsia="zh-CN"/>
        </w:rPr>
        <w:t>总</w:t>
      </w:r>
      <w:r>
        <w:rPr>
          <w:rFonts w:hint="eastAsia" w:ascii="仿宋_GB2312" w:hAnsi="仿宋_GB2312" w:eastAsia="仿宋_GB2312" w:cs="仿宋_GB2312"/>
          <w:color w:val="auto"/>
          <w:kern w:val="10"/>
          <w:sz w:val="32"/>
          <w:szCs w:val="32"/>
          <w:lang w:eastAsia="zh-CN"/>
        </w:rPr>
        <w:t>价款为</w:t>
      </w:r>
      <w:r>
        <w:rPr>
          <w:rFonts w:hint="eastAsia" w:ascii="Times New Roman" w:hAnsi="仿宋_GB2312" w:eastAsia="仿宋_GB2312" w:cs="Times New Roman"/>
          <w:color w:val="auto"/>
          <w:kern w:val="21"/>
          <w:sz w:val="32"/>
          <w:szCs w:val="32"/>
          <w:lang w:eastAsia="zh-CN"/>
        </w:rPr>
        <w:t>（大写）：</w:t>
      </w:r>
      <w:r>
        <w:rPr>
          <w:rFonts w:hint="eastAsia" w:ascii="Times New Roman" w:hAnsi="仿宋_GB2312" w:eastAsia="仿宋_GB2312" w:cs="Times New Roman"/>
          <w:color w:val="auto"/>
          <w:kern w:val="21"/>
          <w:sz w:val="32"/>
          <w:szCs w:val="32"/>
          <w:u w:val="single"/>
          <w:lang w:val="en-US" w:eastAsia="zh-CN"/>
        </w:rPr>
        <w:t>壹仟叁佰捌拾捌万贰仟壹佰叁拾叁</w:t>
      </w:r>
      <w:r>
        <w:rPr>
          <w:rFonts w:hint="eastAsia" w:ascii="仿宋_GB2312" w:hAnsi="仿宋_GB2312" w:eastAsia="仿宋_GB2312" w:cs="仿宋_GB2312"/>
          <w:color w:val="auto"/>
          <w:kern w:val="10"/>
          <w:sz w:val="32"/>
          <w:szCs w:val="32"/>
          <w:u w:val="single"/>
          <w:lang w:eastAsia="zh-CN"/>
        </w:rPr>
        <w:t>元整</w:t>
      </w: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kern w:val="21"/>
          <w:sz w:val="32"/>
          <w:szCs w:val="32"/>
          <w:u w:val="single"/>
          <w:lang w:eastAsia="zh-CN"/>
        </w:rPr>
        <w:t>小写：</w:t>
      </w:r>
      <w:r>
        <w:rPr>
          <w:rFonts w:hint="eastAsia" w:ascii="Times New Roman" w:hAnsi="仿宋_GB2312" w:eastAsia="仿宋_GB2312" w:cs="Times New Roman"/>
          <w:color w:val="auto"/>
          <w:kern w:val="21"/>
          <w:sz w:val="32"/>
          <w:szCs w:val="32"/>
          <w:u w:val="single"/>
          <w:lang w:val="en-US" w:eastAsia="zh-CN"/>
        </w:rPr>
        <w:t>13882133</w:t>
      </w:r>
      <w:r>
        <w:rPr>
          <w:rFonts w:hint="eastAsia" w:ascii="Times New Roman" w:hAnsi="仿宋_GB2312" w:eastAsia="仿宋_GB2312" w:cs="Times New Roman"/>
          <w:color w:val="auto"/>
          <w:kern w:val="21"/>
          <w:sz w:val="32"/>
          <w:szCs w:val="32"/>
          <w:u w:val="single"/>
          <w:lang w:eastAsia="zh-CN"/>
        </w:rPr>
        <w:t xml:space="preserve">元 </w:t>
      </w: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spacing w:val="-6"/>
          <w:kern w:val="21"/>
          <w:sz w:val="32"/>
          <w:szCs w:val="32"/>
          <w:lang w:val="en-US" w:eastAsia="zh-CN"/>
        </w:rPr>
        <w:t>乙方</w:t>
      </w:r>
      <w:r>
        <w:rPr>
          <w:rFonts w:hint="eastAsia" w:ascii="仿宋_GB2312" w:hAnsi="仿宋_GB2312" w:eastAsia="仿宋_GB2312" w:cs="仿宋_GB2312"/>
          <w:color w:val="auto"/>
          <w:spacing w:val="-6"/>
          <w:kern w:val="10"/>
          <w:sz w:val="32"/>
          <w:szCs w:val="32"/>
          <w:lang w:eastAsia="zh-CN"/>
        </w:rPr>
        <w:t>在收到采矿权出让资产包缴款通知书</w:t>
      </w:r>
      <w:r>
        <w:rPr>
          <w:rFonts w:hint="eastAsia" w:ascii="仿宋_GB2312" w:hAnsi="仿宋_GB2312" w:eastAsia="仿宋_GB2312" w:cs="仿宋_GB2312"/>
          <w:color w:val="auto"/>
          <w:spacing w:val="-6"/>
          <w:kern w:val="10"/>
          <w:sz w:val="32"/>
          <w:szCs w:val="32"/>
          <w:lang w:val="en-US" w:eastAsia="zh-CN"/>
        </w:rPr>
        <w:t>之日起</w:t>
      </w:r>
      <w:r>
        <w:rPr>
          <w:rFonts w:hint="eastAsia" w:ascii="仿宋_GB2312" w:hAnsi="仿宋_GB2312" w:eastAsia="仿宋_GB2312" w:cs="仿宋_GB2312"/>
          <w:color w:val="auto"/>
          <w:spacing w:val="-6"/>
          <w:kern w:val="10"/>
          <w:sz w:val="32"/>
          <w:szCs w:val="32"/>
          <w:lang w:eastAsia="zh-CN"/>
        </w:rPr>
        <w:t>30日内，一次性将</w:t>
      </w:r>
      <w:r>
        <w:rPr>
          <w:rFonts w:hint="eastAsia" w:ascii="仿宋_GB2312" w:hAnsi="仿宋_GB2312" w:eastAsia="仿宋_GB2312" w:cs="仿宋_GB2312"/>
          <w:color w:val="auto"/>
          <w:spacing w:val="-6"/>
          <w:kern w:val="10"/>
          <w:sz w:val="32"/>
          <w:szCs w:val="32"/>
          <w:lang w:val="en-US" w:eastAsia="zh-CN"/>
        </w:rPr>
        <w:t>以上1个</w:t>
      </w:r>
      <w:r>
        <w:rPr>
          <w:rFonts w:hint="eastAsia" w:ascii="Times New Roman" w:hAnsi="仿宋_GB2312" w:eastAsia="仿宋_GB2312" w:cs="Times New Roman"/>
          <w:color w:val="auto"/>
          <w:spacing w:val="-6"/>
          <w:kern w:val="21"/>
          <w:sz w:val="32"/>
          <w:szCs w:val="32"/>
          <w:lang w:val="en-US" w:eastAsia="zh-CN"/>
        </w:rPr>
        <w:t>资产包价款</w:t>
      </w:r>
      <w:r>
        <w:rPr>
          <w:rFonts w:hint="eastAsia" w:ascii="仿宋_GB2312" w:hAnsi="仿宋_GB2312" w:eastAsia="仿宋_GB2312" w:cs="仿宋_GB2312"/>
          <w:color w:val="auto"/>
          <w:kern w:val="10"/>
          <w:sz w:val="32"/>
          <w:szCs w:val="32"/>
          <w:lang w:val="en-US" w:eastAsia="zh-CN"/>
        </w:rPr>
        <w:t>（</w:t>
      </w:r>
      <w:r>
        <w:rPr>
          <w:rFonts w:hint="eastAsia" w:ascii="Times New Roman" w:hAnsi="仿宋_GB2312" w:eastAsia="仿宋_GB2312" w:cs="Times New Roman"/>
          <w:color w:val="auto"/>
          <w:kern w:val="21"/>
          <w:sz w:val="32"/>
          <w:szCs w:val="32"/>
          <w:lang w:val="en-US" w:eastAsia="zh-CN"/>
        </w:rPr>
        <w:t>大写</w:t>
      </w:r>
      <w:r>
        <w:rPr>
          <w:rFonts w:hint="eastAsia" w:ascii="仿宋_GB2312" w:hAnsi="仿宋_GB2312" w:eastAsia="仿宋_GB2312" w:cs="仿宋_GB2312"/>
          <w:color w:val="auto"/>
          <w:kern w:val="10"/>
          <w:sz w:val="32"/>
          <w:szCs w:val="32"/>
          <w:lang w:val="en-US" w:eastAsia="zh-CN"/>
        </w:rPr>
        <w:t>）:</w:t>
      </w:r>
      <w:r>
        <w:rPr>
          <w:rFonts w:hint="eastAsia" w:ascii="Times New Roman" w:hAnsi="仿宋_GB2312" w:eastAsia="仿宋_GB2312" w:cs="Times New Roman"/>
          <w:color w:val="auto"/>
          <w:kern w:val="21"/>
          <w:sz w:val="32"/>
          <w:szCs w:val="32"/>
          <w:u w:val="single"/>
          <w:lang w:val="en-US" w:eastAsia="zh-CN"/>
        </w:rPr>
        <w:t>壹仟叁佰捌拾捌万贰仟壹佰叁拾叁</w:t>
      </w:r>
      <w:r>
        <w:rPr>
          <w:rFonts w:hint="eastAsia" w:ascii="仿宋_GB2312" w:hAnsi="仿宋_GB2312" w:eastAsia="仿宋_GB2312" w:cs="仿宋_GB2312"/>
          <w:color w:val="auto"/>
          <w:kern w:val="10"/>
          <w:sz w:val="32"/>
          <w:szCs w:val="32"/>
          <w:u w:val="single"/>
          <w:lang w:eastAsia="zh-CN"/>
        </w:rPr>
        <w:t>元整</w:t>
      </w: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kern w:val="21"/>
          <w:sz w:val="32"/>
          <w:szCs w:val="32"/>
          <w:u w:val="single"/>
          <w:lang w:eastAsia="zh-CN"/>
        </w:rPr>
        <w:t>小写：</w:t>
      </w:r>
      <w:r>
        <w:rPr>
          <w:rFonts w:hint="eastAsia" w:ascii="Times New Roman" w:hAnsi="仿宋_GB2312" w:eastAsia="仿宋_GB2312" w:cs="Times New Roman"/>
          <w:color w:val="auto"/>
          <w:kern w:val="21"/>
          <w:sz w:val="32"/>
          <w:szCs w:val="32"/>
          <w:u w:val="single"/>
          <w:lang w:val="en-US" w:eastAsia="zh-CN"/>
        </w:rPr>
        <w:t>13882133</w:t>
      </w:r>
      <w:r>
        <w:rPr>
          <w:rFonts w:hint="eastAsia" w:ascii="Times New Roman" w:hAnsi="仿宋_GB2312" w:eastAsia="仿宋_GB2312" w:cs="Times New Roman"/>
          <w:color w:val="auto"/>
          <w:kern w:val="21"/>
          <w:sz w:val="32"/>
          <w:szCs w:val="32"/>
          <w:u w:val="single"/>
          <w:lang w:eastAsia="zh-CN"/>
        </w:rPr>
        <w:t>元</w:t>
      </w:r>
      <w:r>
        <w:rPr>
          <w:rFonts w:hint="eastAsia" w:ascii="Times New Roman" w:hAnsi="仿宋_GB2312" w:eastAsia="仿宋_GB2312" w:cs="Times New Roman"/>
          <w:color w:val="auto"/>
          <w:kern w:val="21"/>
          <w:sz w:val="32"/>
          <w:szCs w:val="32"/>
          <w:lang w:eastAsia="zh-CN"/>
        </w:rPr>
        <w:t>)</w:t>
      </w:r>
      <w:r>
        <w:rPr>
          <w:rFonts w:hint="eastAsia" w:ascii="仿宋_GB2312" w:hAnsi="仿宋_GB2312" w:eastAsia="仿宋_GB2312" w:cs="仿宋_GB2312"/>
          <w:strike w:val="0"/>
          <w:dstrike w:val="0"/>
          <w:color w:val="auto"/>
          <w:kern w:val="10"/>
          <w:sz w:val="32"/>
          <w:szCs w:val="32"/>
          <w:u w:val="none"/>
          <w:lang w:eastAsia="zh-CN"/>
        </w:rPr>
        <w:t>直接</w:t>
      </w:r>
      <w:r>
        <w:rPr>
          <w:rFonts w:hint="eastAsia" w:ascii="Times New Roman" w:hAnsi="仿宋_GB2312" w:eastAsia="仿宋_GB2312" w:cs="Times New Roman"/>
          <w:color w:val="auto"/>
          <w:kern w:val="21"/>
          <w:sz w:val="32"/>
          <w:szCs w:val="32"/>
          <w:lang w:eastAsia="zh-CN"/>
        </w:rPr>
        <w:t>支付给</w:t>
      </w:r>
      <w:r>
        <w:rPr>
          <w:rFonts w:hint="eastAsia" w:ascii="仿宋_GB2312" w:hAnsi="仿宋_GB2312" w:eastAsia="仿宋_GB2312" w:cs="仿宋_GB2312"/>
          <w:color w:val="auto"/>
          <w:sz w:val="32"/>
          <w:szCs w:val="32"/>
          <w:lang w:eastAsia="zh-CN"/>
        </w:rPr>
        <w:t>遂溪县自然资源局</w:t>
      </w:r>
      <w:r>
        <w:rPr>
          <w:rFonts w:hint="eastAsia" w:ascii="仿宋_GB2312" w:hAnsi="仿宋_GB2312" w:eastAsia="仿宋_GB2312" w:cs="仿宋_GB2312"/>
          <w:color w:val="auto"/>
          <w:sz w:val="32"/>
          <w:szCs w:val="32"/>
          <w:lang w:val="en-US" w:eastAsia="zh-CN"/>
        </w:rPr>
        <w:t>指定</w:t>
      </w:r>
      <w:r>
        <w:rPr>
          <w:rFonts w:hint="eastAsia" w:ascii="仿宋_GB2312" w:hAnsi="仿宋_GB2312" w:eastAsia="仿宋_GB2312" w:cs="仿宋_GB2312"/>
          <w:color w:val="auto"/>
          <w:sz w:val="32"/>
          <w:szCs w:val="32"/>
          <w:lang w:eastAsia="zh-CN"/>
        </w:rPr>
        <w:t>的账户，账号：2015020909024904295，开户银行：中国工商银行遂溪县支行。经遂溪县自然资源局与土地权属单位对接确认后，由土地权属单位向遂溪县自然资源局申请拨</w:t>
      </w:r>
      <w:r>
        <w:rPr>
          <w:rFonts w:hint="eastAsia" w:ascii="仿宋_GB2312" w:hAnsi="仿宋_GB2312" w:eastAsia="仿宋_GB2312" w:cs="仿宋_GB2312"/>
          <w:color w:val="auto"/>
          <w:sz w:val="32"/>
          <w:szCs w:val="32"/>
          <w:lang w:val="en-US" w:eastAsia="zh-CN"/>
        </w:rPr>
        <w:t>款</w:t>
      </w:r>
      <w:r>
        <w:rPr>
          <w:rFonts w:hint="eastAsia" w:ascii="仿宋_GB2312" w:hAnsi="仿宋_GB2312" w:eastAsia="仿宋_GB2312" w:cs="仿宋_GB2312"/>
          <w:color w:val="auto"/>
          <w:sz w:val="32"/>
          <w:szCs w:val="32"/>
          <w:lang w:eastAsia="zh-CN"/>
        </w:rPr>
        <w:t>，遂溪县自然资源局再</w:t>
      </w:r>
      <w:r>
        <w:rPr>
          <w:rFonts w:hint="eastAsia" w:ascii="仿宋_GB2312" w:hAnsi="仿宋_GB2312" w:eastAsia="仿宋_GB2312" w:cs="仿宋_GB2312"/>
          <w:color w:val="auto"/>
          <w:sz w:val="32"/>
          <w:szCs w:val="32"/>
          <w:lang w:val="en-US" w:eastAsia="zh-CN"/>
        </w:rPr>
        <w:t>将相关金额汇入</w:t>
      </w:r>
      <w:r>
        <w:rPr>
          <w:rFonts w:hint="eastAsia" w:ascii="仿宋_GB2312" w:hAnsi="仿宋_GB2312" w:eastAsia="仿宋_GB2312" w:cs="仿宋_GB2312"/>
          <w:color w:val="auto"/>
          <w:sz w:val="32"/>
          <w:szCs w:val="32"/>
          <w:lang w:eastAsia="zh-CN"/>
        </w:rPr>
        <w:t>土地权属单位</w:t>
      </w:r>
      <w:r>
        <w:rPr>
          <w:rFonts w:hint="eastAsia" w:ascii="仿宋_GB2312" w:hAnsi="仿宋_GB2312" w:eastAsia="仿宋_GB2312" w:cs="仿宋_GB2312"/>
          <w:color w:val="auto"/>
          <w:sz w:val="32"/>
          <w:szCs w:val="32"/>
          <w:lang w:val="en-US" w:eastAsia="zh-CN"/>
        </w:rPr>
        <w:t>指定的账号</w:t>
      </w:r>
      <w:r>
        <w:rPr>
          <w:rFonts w:hint="eastAsia" w:ascii="Times New Roman" w:hAnsi="仿宋_GB2312" w:eastAsia="仿宋_GB2312" w:cs="Times New Roman"/>
          <w:color w:val="auto"/>
          <w:kern w:val="21"/>
          <w:sz w:val="32"/>
          <w:szCs w:val="32"/>
          <w:lang w:eastAsia="zh-CN"/>
        </w:rPr>
        <w:t>。</w:t>
      </w:r>
    </w:p>
    <w:p w14:paraId="160C4FC1">
      <w:pPr>
        <w:keepNext w:val="0"/>
        <w:keepLines w:val="0"/>
        <w:pageBreakBefore w:val="0"/>
        <w:wordWrap/>
        <w:overflowPunct/>
        <w:bidi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乙方应按规定签订互不影响和权益保护协议或出具不影响已设矿业权人权益的承诺，严格执行相关安全要求。(仅用于招标/拍卖/挂牌/协议出让采矿权,且开采区域与已设矿业权范围重叠)</w:t>
      </w:r>
    </w:p>
    <w:p w14:paraId="3D4C4FC8">
      <w:pPr>
        <w:keepNext w:val="0"/>
        <w:keepLines w:val="0"/>
        <w:pageBreakBefore w:val="0"/>
        <w:widowControl/>
        <w:tabs>
          <w:tab w:val="left" w:pos="644"/>
        </w:tabs>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Arial" w:hAnsi="Arial" w:eastAsia="宋体" w:cs="Arial"/>
          <w:snapToGrid w:val="0"/>
          <w:color w:val="000000"/>
          <w:sz w:val="21"/>
          <w:szCs w:val="21"/>
          <w:lang w:val="en-US" w:eastAsia="zh-CN" w:bidi="ar-SA"/>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乙方自取得缴款凭证之日起15个工作日内，应向甲方申请办理采矿权登记。(仅用于招标/拍卖/挂牌/协议出让采矿权)</w:t>
      </w:r>
    </w:p>
    <w:p w14:paraId="5813435C">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甲方对于乙方提交申请材料符合要求的采矿权登记申请，应当自受理登记申请之日起20个工作日内办结采矿权登记手续。(仅用于招标/拍卖/挂牌/协议出让采矿权)</w:t>
      </w:r>
    </w:p>
    <w:p w14:paraId="2617C26C">
      <w:pPr>
        <w:keepNext w:val="0"/>
        <w:keepLines w:val="0"/>
        <w:pageBreakBefore w:val="0"/>
        <w:wordWrap/>
        <w:overflowPunct/>
        <w:bidi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本合同签订生效后，甲方不应将本合同约定的全部或者部分开采区域另行向第三方出让探矿权或者采矿权，依据相关规定同一区域可以按照不同矿种分别设置探矿权、采矿权的情形除外</w:t>
      </w:r>
      <w:r>
        <w:rPr>
          <w:rFonts w:hint="eastAsia" w:ascii="仿宋_GB2312" w:hAnsi="仿宋_GB2312" w:eastAsia="仿宋_GB2312" w:cs="仿宋_GB2312"/>
          <w:sz w:val="32"/>
          <w:szCs w:val="32"/>
          <w:lang w:eastAsia="zh-CN"/>
        </w:rPr>
        <w:t>。</w:t>
      </w:r>
    </w:p>
    <w:p w14:paraId="2594E216">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乙方自本合同签订之日起</w:t>
      </w:r>
      <w:r>
        <w:rPr>
          <w:rFonts w:hint="eastAsia" w:ascii="仿宋_GB2312" w:hAnsi="仿宋_GB2312" w:eastAsia="仿宋_GB2312" w:cs="仿宋_GB2312"/>
          <w:sz w:val="32"/>
          <w:szCs w:val="32"/>
          <w:u w:val="single"/>
        </w:rPr>
        <w:t>12个月内</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val="en-US" w:eastAsia="zh-CN"/>
        </w:rPr>
        <w:t>按遂溪县自然资源局提供的《使用集体土地开采矿产资源意向协议书》及《使用集体土地开采矿产资源意向协议书》(补充协议），及时与土地权属方签订</w:t>
      </w:r>
      <w:r>
        <w:rPr>
          <w:rFonts w:hint="eastAsia" w:ascii="仿宋_GB2312" w:hAnsi="仿宋_GB2312" w:eastAsia="仿宋_GB2312" w:cs="仿宋_GB2312"/>
          <w:color w:val="auto"/>
          <w:kern w:val="10"/>
          <w:sz w:val="32"/>
          <w:szCs w:val="32"/>
          <w:lang w:eastAsia="zh-CN"/>
        </w:rPr>
        <w:t>《采矿用地</w:t>
      </w:r>
      <w:r>
        <w:rPr>
          <w:rFonts w:hint="eastAsia" w:ascii="仿宋_GB2312" w:hAnsi="仿宋_GB2312" w:eastAsia="仿宋_GB2312" w:cs="仿宋_GB2312"/>
          <w:color w:val="auto"/>
          <w:kern w:val="10"/>
          <w:sz w:val="32"/>
          <w:szCs w:val="32"/>
          <w:lang w:val="en-US" w:eastAsia="zh-CN"/>
        </w:rPr>
        <w:t>租赁</w:t>
      </w:r>
      <w:r>
        <w:rPr>
          <w:rFonts w:hint="eastAsia" w:ascii="仿宋_GB2312" w:hAnsi="仿宋_GB2312" w:eastAsia="仿宋_GB2312" w:cs="仿宋_GB2312"/>
          <w:color w:val="auto"/>
          <w:kern w:val="10"/>
          <w:sz w:val="32"/>
          <w:szCs w:val="32"/>
          <w:lang w:eastAsia="zh-CN"/>
        </w:rPr>
        <w:t>合同》、</w:t>
      </w:r>
      <w:r>
        <w:rPr>
          <w:rFonts w:hint="eastAsia" w:ascii="仿宋_GB2312" w:hAnsi="仿宋_GB2312" w:eastAsia="仿宋_GB2312" w:cs="仿宋_GB2312"/>
          <w:color w:val="auto"/>
          <w:kern w:val="10"/>
          <w:sz w:val="32"/>
          <w:szCs w:val="32"/>
          <w:lang w:val="en-US" w:eastAsia="zh-CN"/>
        </w:rPr>
        <w:t>应当依据经评审备案的矿产资源储量报告</w:t>
      </w:r>
      <w:r>
        <w:rPr>
          <w:rFonts w:hint="eastAsia" w:ascii="仿宋_GB2312" w:hAnsi="仿宋_GB2312" w:eastAsia="仿宋_GB2312" w:cs="仿宋_GB2312"/>
          <w:color w:val="auto"/>
          <w:sz w:val="32"/>
          <w:szCs w:val="32"/>
        </w:rPr>
        <w:t>编制开采方案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10"/>
          <w:sz w:val="32"/>
          <w:szCs w:val="32"/>
          <w:lang w:eastAsia="zh-CN"/>
        </w:rPr>
        <w:t>可自行编制或委托有关机构编制</w:t>
      </w:r>
      <w:r>
        <w:rPr>
          <w:rFonts w:hint="eastAsia" w:ascii="仿宋_GB2312" w:hAnsi="仿宋_GB2312" w:eastAsia="仿宋_GB2312" w:cs="仿宋_GB2312"/>
          <w:color w:val="auto"/>
          <w:sz w:val="32"/>
          <w:szCs w:val="32"/>
          <w:lang w:val="en-US" w:eastAsia="zh-CN"/>
        </w:rPr>
        <w:t>)并提交自然资源主管部门组织专家评审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（若使用原有矿产资源开发利用方案除外）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编制</w:t>
      </w:r>
      <w:r>
        <w:rPr>
          <w:rFonts w:hint="eastAsia" w:ascii="仿宋_GB2312" w:hAnsi="仿宋_GB2312" w:eastAsia="仿宋_GB2312" w:cs="仿宋_GB2312"/>
          <w:color w:val="auto"/>
          <w:sz w:val="32"/>
          <w:szCs w:val="32"/>
        </w:rPr>
        <w:t>矿区生态修复方案，申请办理采矿许可。(仅用于招标</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拍卖</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挂牌/协议出让采矿权)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未取得采矿许可证，不得进行矿产资源开采作业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领取</w:t>
      </w:r>
      <w:r>
        <w:rPr>
          <w:rFonts w:hint="eastAsia" w:ascii="仿宋_GB2312" w:hAnsi="仿宋_GB2312" w:eastAsia="仿宋_GB2312" w:cs="仿宋_GB2312"/>
          <w:color w:val="auto"/>
          <w:sz w:val="32"/>
          <w:szCs w:val="32"/>
        </w:rPr>
        <w:t>采矿许可证</w:t>
      </w:r>
      <w:r>
        <w:rPr>
          <w:rFonts w:hint="eastAsia" w:ascii="仿宋_GB2312" w:hAnsi="仿宋_GB2312" w:eastAsia="仿宋_GB2312" w:cs="仿宋_GB2312"/>
          <w:color w:val="auto"/>
          <w:sz w:val="32"/>
          <w:szCs w:val="32"/>
          <w:lang w:val="en-US" w:eastAsia="zh-CN"/>
        </w:rPr>
        <w:t>后，</w:t>
      </w:r>
      <w:r>
        <w:rPr>
          <w:rFonts w:ascii="Times New Roman" w:hAnsi="仿宋_GB2312" w:eastAsia="仿宋_GB2312" w:cs="Times New Roman"/>
          <w:bCs/>
          <w:color w:val="auto"/>
          <w:kern w:val="21"/>
          <w:sz w:val="32"/>
          <w:szCs w:val="32"/>
          <w:lang w:eastAsia="zh-CN"/>
        </w:rPr>
        <w:t>积极配合</w:t>
      </w:r>
      <w:r>
        <w:rPr>
          <w:rFonts w:hint="eastAsia" w:ascii="仿宋_GB2312" w:hAnsi="仿宋_GB2312" w:eastAsia="仿宋_GB2312" w:cs="仿宋_GB2312"/>
          <w:color w:val="auto"/>
          <w:spacing w:val="-4"/>
          <w:sz w:val="32"/>
          <w:szCs w:val="32"/>
          <w:lang w:eastAsia="zh-CN"/>
        </w:rPr>
        <w:t>土地使用权人</w:t>
      </w:r>
      <w:r>
        <w:rPr>
          <w:rFonts w:ascii="Times New Roman" w:hAnsi="仿宋_GB2312" w:eastAsia="仿宋_GB2312" w:cs="Times New Roman"/>
          <w:bCs/>
          <w:color w:val="auto"/>
          <w:kern w:val="21"/>
          <w:sz w:val="32"/>
          <w:szCs w:val="32"/>
          <w:lang w:eastAsia="zh-CN"/>
        </w:rPr>
        <w:t>依法依规办理</w:t>
      </w:r>
      <w:r>
        <w:rPr>
          <w:rFonts w:ascii="Times New Roman" w:hAnsi="Times New Roman" w:eastAsia="仿宋_GB2312" w:cs="Times New Roman"/>
          <w:bCs/>
          <w:color w:val="auto"/>
          <w:kern w:val="21"/>
          <w:sz w:val="32"/>
          <w:szCs w:val="32"/>
          <w:lang w:eastAsia="zh-CN"/>
        </w:rPr>
        <w:t>“</w:t>
      </w:r>
      <w:r>
        <w:rPr>
          <w:rFonts w:ascii="Times New Roman" w:hAnsi="仿宋_GB2312" w:eastAsia="仿宋_GB2312" w:cs="Times New Roman"/>
          <w:bCs/>
          <w:color w:val="auto"/>
          <w:kern w:val="21"/>
          <w:sz w:val="32"/>
          <w:szCs w:val="32"/>
          <w:lang w:eastAsia="zh-CN"/>
        </w:rPr>
        <w:t>农转用</w:t>
      </w:r>
      <w:r>
        <w:rPr>
          <w:rFonts w:ascii="Times New Roman" w:hAnsi="Times New Roman" w:eastAsia="仿宋_GB2312" w:cs="Times New Roman"/>
          <w:bCs/>
          <w:color w:val="auto"/>
          <w:kern w:val="21"/>
          <w:sz w:val="32"/>
          <w:szCs w:val="32"/>
          <w:lang w:eastAsia="zh-CN"/>
        </w:rPr>
        <w:t>”</w:t>
      </w:r>
      <w:r>
        <w:rPr>
          <w:rFonts w:ascii="Times New Roman" w:hAnsi="仿宋_GB2312" w:eastAsia="仿宋_GB2312" w:cs="Times New Roman"/>
          <w:bCs/>
          <w:color w:val="auto"/>
          <w:kern w:val="21"/>
          <w:sz w:val="32"/>
          <w:szCs w:val="32"/>
          <w:lang w:eastAsia="zh-CN"/>
        </w:rPr>
        <w:t>手续</w:t>
      </w:r>
      <w:r>
        <w:rPr>
          <w:rFonts w:hint="eastAsia" w:ascii="Times New Roman" w:hAnsi="仿宋_GB2312" w:eastAsia="仿宋_GB2312" w:cs="Times New Roman"/>
          <w:bCs/>
          <w:color w:val="auto"/>
          <w:kern w:val="21"/>
          <w:sz w:val="32"/>
          <w:szCs w:val="32"/>
          <w:lang w:eastAsia="zh-CN"/>
        </w:rPr>
        <w:t>及后续手续</w:t>
      </w:r>
      <w:r>
        <w:rPr>
          <w:rFonts w:ascii="Times New Roman" w:hAnsi="仿宋_GB2312" w:eastAsia="仿宋_GB2312" w:cs="Times New Roman"/>
          <w:bCs/>
          <w:color w:val="auto"/>
          <w:kern w:val="21"/>
          <w:sz w:val="32"/>
          <w:szCs w:val="32"/>
          <w:lang w:eastAsia="zh-CN"/>
        </w:rPr>
        <w:t>，所产生的一切费用均由</w:t>
      </w:r>
      <w:r>
        <w:rPr>
          <w:rFonts w:hint="eastAsia" w:ascii="Times New Roman" w:hAnsi="仿宋_GB2312" w:eastAsia="仿宋_GB2312" w:cs="Times New Roman"/>
          <w:bCs/>
          <w:color w:val="auto"/>
          <w:kern w:val="21"/>
          <w:sz w:val="32"/>
          <w:szCs w:val="32"/>
          <w:lang w:eastAsia="zh-CN"/>
        </w:rPr>
        <w:t>乙方</w:t>
      </w:r>
      <w:r>
        <w:rPr>
          <w:rFonts w:ascii="Times New Roman" w:hAnsi="仿宋_GB2312" w:eastAsia="仿宋_GB2312" w:cs="Times New Roman"/>
          <w:bCs/>
          <w:color w:val="auto"/>
          <w:kern w:val="21"/>
          <w:sz w:val="32"/>
          <w:szCs w:val="32"/>
          <w:lang w:eastAsia="zh-CN"/>
        </w:rPr>
        <w:t>承担</w:t>
      </w:r>
      <w:r>
        <w:rPr>
          <w:rFonts w:hint="eastAsia" w:ascii="仿宋_GB2312" w:hAnsi="仿宋_GB2312" w:eastAsia="仿宋_GB2312" w:cs="仿宋_GB2312"/>
          <w:color w:val="auto"/>
          <w:kern w:val="10"/>
          <w:sz w:val="32"/>
          <w:szCs w:val="32"/>
          <w:lang w:val="en-US" w:eastAsia="zh-CN"/>
        </w:rPr>
        <w:t>；若乙方</w:t>
      </w:r>
      <w:r>
        <w:rPr>
          <w:rFonts w:hint="eastAsia" w:ascii="仿宋_GB2312" w:hAnsi="仿宋_GB2312" w:eastAsia="仿宋_GB2312" w:cs="仿宋_GB2312"/>
          <w:color w:val="auto"/>
          <w:sz w:val="32"/>
          <w:szCs w:val="32"/>
          <w:lang w:eastAsia="zh-CN"/>
        </w:rPr>
        <w:t>在开采区范围以外</w:t>
      </w:r>
      <w:r>
        <w:rPr>
          <w:rFonts w:hint="eastAsia" w:ascii="仿宋_GB2312" w:hAnsi="仿宋_GB2312" w:eastAsia="仿宋_GB2312" w:cs="仿宋_GB2312"/>
          <w:color w:val="auto"/>
          <w:sz w:val="32"/>
          <w:szCs w:val="32"/>
          <w:lang w:val="en-US" w:eastAsia="zh-CN"/>
        </w:rPr>
        <w:t>选址</w:t>
      </w:r>
      <w:r>
        <w:rPr>
          <w:rFonts w:hint="eastAsia" w:ascii="仿宋_GB2312" w:hAnsi="仿宋_GB2312" w:eastAsia="仿宋_GB2312" w:cs="仿宋_GB2312"/>
          <w:color w:val="auto"/>
          <w:sz w:val="32"/>
          <w:szCs w:val="32"/>
          <w:lang w:eastAsia="zh-CN"/>
        </w:rPr>
        <w:t>拟建矿山配套生产设施</w:t>
      </w:r>
      <w:r>
        <w:rPr>
          <w:rFonts w:hint="eastAsia" w:ascii="仿宋_GB2312" w:hAnsi="仿宋_GB2312" w:eastAsia="仿宋_GB2312" w:cs="仿宋_GB2312"/>
          <w:color w:val="auto"/>
          <w:sz w:val="32"/>
          <w:szCs w:val="32"/>
          <w:lang w:val="en-US" w:eastAsia="zh-CN"/>
        </w:rPr>
        <w:t>用地，用地来源及所办理相关用地手续的费用自行解决。</w:t>
      </w:r>
    </w:p>
    <w:p w14:paraId="1456C479">
      <w:pPr>
        <w:keepNext w:val="0"/>
        <w:keepLines w:val="0"/>
        <w:pageBreakBefore w:val="0"/>
        <w:wordWrap/>
        <w:overflowPunct/>
        <w:bidi w:val="0"/>
        <w:spacing w:line="58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扩大</w:t>
      </w:r>
      <w:r>
        <w:rPr>
          <w:rFonts w:hint="eastAsia" w:ascii="仿宋_GB2312" w:hAnsi="仿宋_GB2312" w:eastAsia="仿宋_GB2312" w:cs="仿宋_GB2312"/>
          <w:sz w:val="32"/>
          <w:szCs w:val="32"/>
        </w:rPr>
        <w:t>开采区域、变更(含增列)开采矿种等，涉及动用未有偿处置的资源量，甲、乙双方需变更采矿权出让合同，同时乙方应当向甲方申请采矿权变更登记。</w:t>
      </w:r>
    </w:p>
    <w:p w14:paraId="6AF11980">
      <w:pPr>
        <w:keepNext w:val="0"/>
        <w:keepLines w:val="0"/>
        <w:pageBreakBefore w:val="0"/>
        <w:wordWrap/>
        <w:overflowPunct/>
        <w:bidi w:val="0"/>
        <w:spacing w:line="580" w:lineRule="exact"/>
        <w:ind w:firstLine="640" w:firstLineChars="200"/>
        <w:jc w:val="both"/>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乙方按规定可以依法转让采矿权，本合同约定的权利、义务依法随之</w:t>
      </w:r>
      <w:r>
        <w:rPr>
          <w:rFonts w:hint="eastAsia" w:ascii="仿宋_GB2312" w:hAnsi="仿宋_GB2312" w:eastAsia="仿宋_GB2312" w:cs="仿宋_GB2312"/>
          <w:sz w:val="32"/>
          <w:szCs w:val="32"/>
          <w:u w:val="none"/>
        </w:rPr>
        <w:t>转移。出让合同另有约定不得转让的情形不得转让。</w:t>
      </w:r>
    </w:p>
    <w:p w14:paraId="258D82AC">
      <w:pPr>
        <w:keepNext w:val="0"/>
        <w:keepLines w:val="0"/>
        <w:pageBreakBefore w:val="0"/>
        <w:kinsoku/>
        <w:wordWrap/>
        <w:overflowPunct/>
        <w:topLinePunct/>
        <w:autoSpaceDE/>
        <w:autoSpaceDN/>
        <w:bidi w:val="0"/>
        <w:adjustRightInd/>
        <w:snapToGrid/>
        <w:spacing w:line="580" w:lineRule="exact"/>
        <w:ind w:firstLine="640" w:firstLineChars="200"/>
        <w:jc w:val="both"/>
        <w:outlineLvl w:val="0"/>
        <w:rPr>
          <w:rFonts w:hint="eastAsia" w:ascii="仿宋_GB2312" w:hAnsi="仿宋_GB2312" w:eastAsia="仿宋_GB2312" w:cs="仿宋_GB2312"/>
          <w:strike w:val="0"/>
          <w:dstrike w:val="0"/>
          <w:color w:val="auto"/>
          <w:sz w:val="32"/>
          <w:szCs w:val="32"/>
          <w:lang w:eastAsia="zh-CN"/>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pacing w:val="-4"/>
          <w:sz w:val="32"/>
          <w:szCs w:val="32"/>
          <w:lang w:eastAsia="zh-CN"/>
        </w:rPr>
        <w:t>乙方在依法取得采矿许可证后，须按法律规定完善用地、用林、环评、水保、安全等手续后才能正式采矿，要严格遵守土地管理、矿产资源、生态环境保护、水土保持、森林防火、安全生产等法律法规、切实履行法律法规规定的义务，接受相关部门的监督管理，依法缴纳相关税费。因未取得除采矿以外的其他相关行政许可导致乙方无法采矿，或取得相关行政许可后又被撤销、注销或吊销而导致的一切后果与甲方无关</w:t>
      </w:r>
      <w:r>
        <w:rPr>
          <w:rFonts w:hint="eastAsia" w:ascii="仿宋_GB2312" w:hAnsi="仿宋_GB2312" w:eastAsia="仿宋_GB2312" w:cs="仿宋_GB2312"/>
          <w:strike w:val="0"/>
          <w:dstrike w:val="0"/>
          <w:color w:val="auto"/>
          <w:sz w:val="32"/>
          <w:szCs w:val="32"/>
          <w:lang w:eastAsia="zh-CN"/>
        </w:rPr>
        <w:t>。</w:t>
      </w:r>
    </w:p>
    <w:p w14:paraId="76B01F2C">
      <w:pPr>
        <w:keepNext w:val="0"/>
        <w:keepLines w:val="0"/>
        <w:pageBreakBefore w:val="0"/>
        <w:widowControl/>
        <w:wordWrap/>
        <w:overflowPunct/>
        <w:bidi w:val="0"/>
        <w:spacing w:line="54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乙方在持有采矿权期间，应当严格遵守矿产资源法律法规、相关矿业权管理政策，认真履行综合开采、综合利用，地质资料汇交、矿区生态修复、绿色矿山建设、合理和集约节约用地用林用草用海、临时用地恢复、采矿权占用费缴纳、矿产资源应急处置等相关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6DA4F95B">
      <w:pPr>
        <w:keepNext w:val="0"/>
        <w:keepLines w:val="0"/>
        <w:pageBreakBefore w:val="0"/>
        <w:widowControl/>
        <w:wordWrap/>
        <w:overflowPunct/>
        <w:bidi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第十五条</w:t>
      </w:r>
      <w:r>
        <w:rPr>
          <w:rFonts w:hint="eastAsia" w:ascii="仿宋_GB2312" w:hAnsi="仿宋_GB2312" w:eastAsia="仿宋_GB2312" w:cs="仿宋_GB2312"/>
          <w:spacing w:val="6"/>
          <w:sz w:val="32"/>
          <w:szCs w:val="32"/>
          <w:lang w:val="en-US" w:eastAsia="zh-CN"/>
        </w:rPr>
        <w:t xml:space="preserve"> 乙方</w:t>
      </w:r>
      <w:r>
        <w:rPr>
          <w:rFonts w:hint="eastAsia" w:ascii="仿宋_GB2312" w:hAnsi="仿宋_GB2312" w:eastAsia="仿宋_GB2312" w:cs="仿宋_GB2312"/>
          <w:spacing w:val="6"/>
          <w:sz w:val="32"/>
          <w:szCs w:val="32"/>
        </w:rPr>
        <w:t>应严格按照</w:t>
      </w:r>
      <w:r>
        <w:rPr>
          <w:rFonts w:hint="eastAsia" w:ascii="仿宋_GB2312" w:hAnsi="仿宋_GB2312" w:eastAsia="仿宋_GB2312" w:cs="仿宋_GB2312"/>
          <w:spacing w:val="6"/>
          <w:kern w:val="32"/>
          <w:sz w:val="32"/>
          <w:szCs w:val="32"/>
          <w:lang w:eastAsia="zh-CN"/>
        </w:rPr>
        <w:t>《广东省自然资源厅关于全面推进绿色矿山建设工作的通知》（粤自然资函〔2021〕497号）</w:t>
      </w:r>
      <w:r>
        <w:rPr>
          <w:rFonts w:hint="eastAsia" w:ascii="仿宋_GB2312" w:hAnsi="仿宋_GB2312" w:eastAsia="仿宋_GB2312" w:cs="仿宋_GB2312"/>
          <w:kern w:val="32"/>
          <w:sz w:val="32"/>
          <w:szCs w:val="32"/>
          <w:lang w:eastAsia="zh-CN"/>
        </w:rPr>
        <w:t>《广东省自然资源厅关于常态化推进绿色矿山建设达标工作的通知》（粤自然资矿管〔2024〕211号）《自然资源部 生态环境部 财政部 国家市场监督管理总局 国家金融监督管理总局 中国证劵监督管理委员会 国家林业和草原局关于进一步加强绿色矿山建设的通知》（自然资规〔2024〕1号）的要求建设绿色矿山，达到绿色矿山标准</w:t>
      </w:r>
      <w:r>
        <w:rPr>
          <w:rFonts w:hint="eastAsia" w:ascii="仿宋_GB2312" w:hAnsi="仿宋_GB2312" w:eastAsia="仿宋_GB2312" w:cs="仿宋_GB2312"/>
          <w:spacing w:val="-17"/>
          <w:kern w:val="32"/>
          <w:sz w:val="32"/>
          <w:szCs w:val="32"/>
          <w:lang w:eastAsia="zh-CN"/>
        </w:rPr>
        <w:t>（</w:t>
      </w:r>
      <w:r>
        <w:rPr>
          <w:rFonts w:hint="eastAsia" w:ascii="仿宋_GB2312" w:hAnsi="仿宋_GB2312" w:eastAsia="仿宋_GB2312" w:cs="仿宋_GB2312"/>
          <w:spacing w:val="-17"/>
          <w:sz w:val="32"/>
          <w:szCs w:val="32"/>
        </w:rPr>
        <w:t>正式投产后1-2年内通过绿色矿山评估核查</w:t>
      </w:r>
      <w:r>
        <w:rPr>
          <w:rFonts w:hint="eastAsia" w:ascii="仿宋_GB2312" w:hAnsi="仿宋_GB2312" w:eastAsia="仿宋_GB2312" w:cs="仿宋_GB2312"/>
          <w:spacing w:val="-17"/>
          <w:kern w:val="32"/>
          <w:sz w:val="32"/>
          <w:szCs w:val="32"/>
          <w:lang w:eastAsia="zh-CN"/>
        </w:rPr>
        <w:t>），并经自然资源主管部门评审通过</w:t>
      </w:r>
      <w:r>
        <w:rPr>
          <w:rFonts w:hint="eastAsia" w:ascii="仿宋_GB2312" w:hAnsi="仿宋_GB2312" w:eastAsia="仿宋_GB2312" w:cs="仿宋_GB2312"/>
          <w:kern w:val="32"/>
          <w:sz w:val="32"/>
          <w:szCs w:val="32"/>
          <w:lang w:eastAsia="zh-CN"/>
        </w:rPr>
        <w:t>，否则管理机关按规定追究相关违约责任；</w:t>
      </w:r>
      <w:r>
        <w:rPr>
          <w:rFonts w:hint="eastAsia" w:ascii="仿宋_GB2312" w:hAnsi="仿宋_GB2312" w:eastAsia="仿宋_GB2312" w:cs="仿宋_GB2312"/>
          <w:sz w:val="32"/>
          <w:szCs w:val="32"/>
        </w:rPr>
        <w:t>应当依法履行生态修复义务，按照规定足额提取矿区生态修复费用，专门用于矿区生态修复;未依法履行矿区生态修复义务的，按照有关规定列入异常名录或严重失信主体名单。乙方的生态修复等义务不因采矿权消灭面免除。</w:t>
      </w:r>
    </w:p>
    <w:p w14:paraId="3BB77741">
      <w:pPr>
        <w:keepNext w:val="0"/>
        <w:keepLines w:val="0"/>
        <w:pageBreakBefore w:val="0"/>
        <w:widowControl/>
        <w:wordWrap/>
        <w:overflowPunct/>
        <w:bidi w:val="0"/>
        <w:spacing w:line="540" w:lineRule="exact"/>
        <w:ind w:firstLine="640" w:firstLineChars="200"/>
        <w:jc w:val="both"/>
        <w:textAlignment w:val="baseline"/>
        <w:rPr>
          <w:rFonts w:hint="eastAsia" w:ascii="仿宋_GB2312" w:hAnsi="仿宋_GB2312" w:eastAsia="仿宋_GB2312" w:cs="仿宋_GB2312"/>
          <w:color w:val="auto"/>
          <w:spacing w:val="-4"/>
          <w:sz w:val="32"/>
          <w:szCs w:val="32"/>
          <w:lang w:eastAsia="zh-CN"/>
        </w:rPr>
      </w:pPr>
      <w:r>
        <w:rPr>
          <w:rFonts w:hint="eastAsia" w:ascii="黑体" w:hAnsi="黑体" w:eastAsia="黑体" w:cs="黑体"/>
          <w:b w:val="0"/>
          <w:bCs w:val="0"/>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pacing w:val="-4"/>
          <w:sz w:val="32"/>
          <w:szCs w:val="32"/>
          <w:lang w:eastAsia="zh-CN"/>
        </w:rPr>
        <w:t>乙方在领取采矿许可证之日起1个月内须自行完成矿区范围内界桩、标识牌建设（施工费用由乙方承担），并经甲方组织验收通过为准。</w:t>
      </w:r>
    </w:p>
    <w:p w14:paraId="45ABE9C8">
      <w:pPr>
        <w:keepNext w:val="0"/>
        <w:keepLines w:val="0"/>
        <w:pageBreakBefore w:val="0"/>
        <w:widowControl/>
        <w:kinsoku/>
        <w:wordWrap/>
        <w:overflowPunct/>
        <w:topLinePunct/>
        <w:autoSpaceDE/>
        <w:autoSpaceDN/>
        <w:bidi w:val="0"/>
        <w:adjustRightInd/>
        <w:snapToGrid/>
        <w:spacing w:line="540" w:lineRule="exact"/>
        <w:ind w:firstLine="640" w:firstLineChars="200"/>
        <w:jc w:val="both"/>
        <w:textAlignment w:val="baseline"/>
        <w:outlineLvl w:val="0"/>
        <w:rPr>
          <w:rFonts w:hint="eastAsia" w:ascii="仿宋_GB2312" w:hAnsi="仿宋_GB2312" w:eastAsia="仿宋_GB2312" w:cs="仿宋_GB2312"/>
          <w:color w:val="auto"/>
          <w:spacing w:val="-4"/>
          <w:sz w:val="32"/>
          <w:szCs w:val="32"/>
          <w:lang w:eastAsia="zh-CN"/>
        </w:rPr>
      </w:pPr>
      <w:r>
        <w:rPr>
          <w:rFonts w:hint="eastAsia" w:ascii="黑体" w:hAnsi="黑体" w:eastAsia="黑体" w:cs="黑体"/>
          <w:b w:val="0"/>
          <w:bCs w:val="0"/>
          <w:sz w:val="32"/>
          <w:szCs w:val="32"/>
          <w:lang w:val="en-US" w:eastAsia="zh-CN"/>
        </w:rPr>
        <w:t>第十七条</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auto"/>
          <w:spacing w:val="-4"/>
          <w:sz w:val="32"/>
          <w:szCs w:val="32"/>
          <w:lang w:eastAsia="zh-CN"/>
        </w:rPr>
        <w:t>乙方应在取得采矿</w:t>
      </w:r>
      <w:r>
        <w:rPr>
          <w:rFonts w:hint="eastAsia" w:ascii="仿宋_GB2312" w:hAnsi="仿宋_GB2312" w:eastAsia="仿宋_GB2312" w:cs="仿宋_GB2312"/>
          <w:color w:val="auto"/>
          <w:spacing w:val="-4"/>
          <w:sz w:val="32"/>
          <w:szCs w:val="32"/>
          <w:lang w:val="en-US" w:eastAsia="zh-CN"/>
        </w:rPr>
        <w:t>许可证</w:t>
      </w:r>
      <w:r>
        <w:rPr>
          <w:rFonts w:hint="eastAsia" w:ascii="仿宋_GB2312" w:hAnsi="仿宋_GB2312" w:eastAsia="仿宋_GB2312" w:cs="仿宋_GB2312"/>
          <w:color w:val="auto"/>
          <w:spacing w:val="-4"/>
          <w:sz w:val="32"/>
          <w:szCs w:val="32"/>
          <w:lang w:eastAsia="zh-CN"/>
        </w:rPr>
        <w:t>1个月内建立矿山地质环境治理恢复基金账户。矿山正式生产后，乙方按上年度产量计提矿山地质环境治理恢复基金，并按照经批准的《矿山地质环境保护与土地复垦方案》开展“边采边治”。于每年12月31日前将年度矿山地质环境治理恢复与土地复垦工程实施情况、基金计提与使用情况及下一年度计划使用情况等书面报告甲方。乙方在开采活动中造成地质灾害隐患或诱发地质灾害事故的，乙方应及时消除隐患并通过采矿所在地县级应急部门验收确认后方可重新采矿。</w:t>
      </w:r>
    </w:p>
    <w:p w14:paraId="6EFBFB88">
      <w:pPr>
        <w:keepNext w:val="0"/>
        <w:keepLines w:val="0"/>
        <w:pageBreakBefore w:val="0"/>
        <w:widowControl/>
        <w:kinsoku/>
        <w:wordWrap/>
        <w:overflowPunct/>
        <w:topLinePunct/>
        <w:autoSpaceDE/>
        <w:autoSpaceDN/>
        <w:bidi w:val="0"/>
        <w:adjustRightInd/>
        <w:snapToGrid/>
        <w:spacing w:line="540" w:lineRule="exact"/>
        <w:ind w:firstLine="640" w:firstLineChars="200"/>
        <w:jc w:val="both"/>
        <w:textAlignment w:val="baseline"/>
        <w:outlineLvl w:val="0"/>
        <w:rPr>
          <w:rFonts w:ascii="仿宋_GB2312" w:hAnsi="仿宋_GB2312" w:eastAsia="仿宋_GB2312" w:cs="仿宋_GB2312"/>
          <w:color w:val="auto"/>
          <w:spacing w:val="-4"/>
          <w:sz w:val="32"/>
          <w:szCs w:val="32"/>
          <w:lang w:eastAsia="zh-CN"/>
        </w:rPr>
      </w:pPr>
      <w:r>
        <w:rPr>
          <w:rFonts w:hint="eastAsia" w:ascii="黑体" w:hAnsi="黑体" w:eastAsia="黑体" w:cs="黑体"/>
          <w:b w:val="0"/>
          <w:bCs w:val="0"/>
          <w:sz w:val="32"/>
          <w:szCs w:val="32"/>
          <w:lang w:val="en-US" w:eastAsia="zh-CN"/>
        </w:rPr>
        <w:t>第十八条</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auto"/>
          <w:spacing w:val="-4"/>
          <w:sz w:val="32"/>
          <w:szCs w:val="32"/>
          <w:lang w:eastAsia="zh-CN"/>
        </w:rPr>
        <w:t>乙方在开采中如发现具有经济价值的其他矿种的，应及时报告甲方，由自然资源主管部门根据审批权限组织专家开展调查评价后重新出让采矿权。由甲方对尚余的已出让可采储量、地上建（构）筑物及其他附属生产设施的价值进行核定后给予适当补偿。</w:t>
      </w:r>
    </w:p>
    <w:p w14:paraId="14519385">
      <w:pPr>
        <w:keepNext w:val="0"/>
        <w:keepLines w:val="0"/>
        <w:pageBreakBefore w:val="0"/>
        <w:kinsoku/>
        <w:wordWrap/>
        <w:overflowPunct/>
        <w:topLinePunct/>
        <w:autoSpaceDE/>
        <w:autoSpaceDN/>
        <w:bidi w:val="0"/>
        <w:adjustRightInd/>
        <w:snapToGrid/>
        <w:spacing w:line="540" w:lineRule="exact"/>
        <w:ind w:firstLine="640" w:firstLineChars="200"/>
        <w:jc w:val="both"/>
        <w:textAlignment w:val="baseline"/>
        <w:outlineLvl w:val="0"/>
        <w:rPr>
          <w:rFonts w:ascii="仿宋_GB2312" w:hAnsi="仿宋_GB2312" w:eastAsia="仿宋_GB2312" w:cs="仿宋_GB2312"/>
          <w:color w:val="auto"/>
          <w:spacing w:val="-4"/>
          <w:sz w:val="32"/>
          <w:szCs w:val="32"/>
          <w:lang w:eastAsia="zh-CN"/>
        </w:rPr>
      </w:pPr>
      <w:r>
        <w:rPr>
          <w:rFonts w:hint="eastAsia" w:ascii="黑体" w:hAnsi="黑体" w:eastAsia="黑体" w:cs="黑体"/>
          <w:b w:val="0"/>
          <w:bCs w:val="0"/>
          <w:sz w:val="32"/>
          <w:szCs w:val="32"/>
          <w:lang w:val="en-US" w:eastAsia="zh-CN"/>
        </w:rPr>
        <w:t>第十九条</w:t>
      </w:r>
      <w:r>
        <w:rPr>
          <w:rFonts w:hint="eastAsia" w:ascii="黑体" w:hAnsi="黑体" w:eastAsia="黑体" w:cs="黑体"/>
          <w:color w:val="auto"/>
          <w:spacing w:val="-4"/>
          <w:sz w:val="32"/>
          <w:szCs w:val="32"/>
          <w:lang w:eastAsia="zh-CN"/>
        </w:rPr>
        <w:t xml:space="preserve">  </w:t>
      </w:r>
      <w:r>
        <w:rPr>
          <w:rFonts w:hint="eastAsia" w:ascii="仿宋_GB2312" w:hAnsi="仿宋_GB2312" w:eastAsia="仿宋_GB2312" w:cs="仿宋_GB2312"/>
          <w:color w:val="auto"/>
          <w:spacing w:val="-4"/>
          <w:sz w:val="32"/>
          <w:szCs w:val="32"/>
          <w:lang w:eastAsia="zh-CN"/>
        </w:rPr>
        <w:t>乙方在采矿许可证有效期内决定停办、关闭矿山的，应及时与甲方协商解除本合同，并按规定依法申请办理采矿权注销手续，自行无偿拆除矿区所有建（构）筑物及其附属生产设施。依法履行矿山地质环境治理恢复义务，不得因出让合同解除、采矿权注销而停止履行。</w:t>
      </w:r>
    </w:p>
    <w:p w14:paraId="7A696D16">
      <w:pPr>
        <w:keepNext w:val="0"/>
        <w:keepLines w:val="0"/>
        <w:pageBreakBefore w:val="0"/>
        <w:kinsoku/>
        <w:wordWrap/>
        <w:overflowPunct/>
        <w:topLinePunct/>
        <w:autoSpaceDE/>
        <w:autoSpaceDN/>
        <w:bidi w:val="0"/>
        <w:adjustRightInd/>
        <w:snapToGrid/>
        <w:spacing w:line="540" w:lineRule="exact"/>
        <w:ind w:firstLine="640" w:firstLineChars="200"/>
        <w:jc w:val="both"/>
        <w:textAlignment w:val="baseline"/>
        <w:outlineLvl w:val="0"/>
        <w:rPr>
          <w:rFonts w:ascii="仿宋_GB2312" w:hAnsi="仿宋_GB2312" w:eastAsia="仿宋_GB2312" w:cs="仿宋_GB2312"/>
          <w:color w:val="auto"/>
          <w:spacing w:val="-4"/>
          <w:sz w:val="32"/>
          <w:szCs w:val="32"/>
          <w:lang w:eastAsia="zh-CN"/>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二十</w:t>
      </w:r>
      <w:r>
        <w:rPr>
          <w:rFonts w:hint="eastAsia" w:ascii="黑体" w:hAnsi="黑体" w:eastAsia="黑体" w:cs="黑体"/>
          <w:b w:val="0"/>
          <w:bCs w:val="0"/>
          <w:sz w:val="32"/>
          <w:szCs w:val="32"/>
          <w:lang w:eastAsia="zh-CN"/>
        </w:rPr>
        <w:t>条</w:t>
      </w:r>
      <w:r>
        <w:rPr>
          <w:rFonts w:hint="eastAsia" w:ascii="仿宋_GB2312" w:hAnsi="仿宋_GB2312" w:eastAsia="仿宋_GB2312" w:cs="仿宋_GB2312"/>
          <w:color w:val="auto"/>
          <w:spacing w:val="-4"/>
          <w:sz w:val="32"/>
          <w:szCs w:val="32"/>
          <w:lang w:eastAsia="zh-CN"/>
        </w:rPr>
        <w:t xml:space="preserve">  乙方负有保护矿区周边地形地貌完整的义务。若发现矿区周边存在偷挖、盗取矿产资源，破坏土地的行为，应及时向当地政府及有关部门报告，切实做好矿区周边地形地貌完整的保护措施（合法利用项目除外）。</w:t>
      </w:r>
    </w:p>
    <w:p w14:paraId="51B28CF3">
      <w:pPr>
        <w:keepNext w:val="0"/>
        <w:keepLines w:val="0"/>
        <w:pageBreakBefore w:val="0"/>
        <w:wordWrap/>
        <w:overflowPunct/>
        <w:bidi w:val="0"/>
        <w:spacing w:line="540" w:lineRule="exact"/>
        <w:ind w:firstLine="640" w:firstLineChars="200"/>
        <w:jc w:val="both"/>
        <w:textAlignment w:val="baseline"/>
        <w:rPr>
          <w:rFonts w:hint="eastAsia" w:ascii="仿宋_GB2312" w:hAnsi="仿宋_GB2312" w:eastAsia="仿宋_GB2312" w:cs="仿宋_GB2312"/>
          <w:color w:val="auto"/>
          <w:spacing w:val="-4"/>
          <w:sz w:val="32"/>
          <w:szCs w:val="32"/>
          <w:lang w:eastAsia="zh-CN"/>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条</w:t>
      </w:r>
      <w:r>
        <w:rPr>
          <w:rFonts w:hint="eastAsia" w:ascii="仿宋_GB2312" w:hAnsi="仿宋_GB2312" w:eastAsia="仿宋_GB2312" w:cs="仿宋_GB2312"/>
          <w:color w:val="auto"/>
          <w:spacing w:val="-4"/>
          <w:sz w:val="32"/>
          <w:szCs w:val="32"/>
          <w:lang w:eastAsia="zh-CN"/>
        </w:rPr>
        <w:t xml:space="preserve">  乙方须积极履行社会责任，坚持企地共建，利益共享，共同绿色发展的办矿理念，加大对矿区群众的教育、就业、交通、生活、生态环境保护的支持力度，促进社区和谐、社会稳定。</w:t>
      </w:r>
    </w:p>
    <w:p w14:paraId="06EF3318">
      <w:pPr>
        <w:keepNext w:val="0"/>
        <w:keepLines w:val="0"/>
        <w:pageBreakBefore w:val="0"/>
        <w:kinsoku/>
        <w:wordWrap/>
        <w:overflowPunct/>
        <w:topLinePunct/>
        <w:autoSpaceDE/>
        <w:autoSpaceDN/>
        <w:bidi w:val="0"/>
        <w:adjustRightInd/>
        <w:snapToGrid/>
        <w:spacing w:line="540" w:lineRule="exact"/>
        <w:ind w:firstLine="640" w:firstLineChars="200"/>
        <w:jc w:val="both"/>
        <w:textAlignment w:val="baseline"/>
        <w:outlineLvl w:val="0"/>
        <w:rPr>
          <w:rFonts w:ascii="仿宋_GB2312" w:hAnsi="仿宋_GB2312" w:eastAsia="仿宋_GB2312" w:cs="仿宋_GB2312"/>
          <w:color w:val="auto"/>
          <w:spacing w:val="-4"/>
          <w:sz w:val="32"/>
          <w:szCs w:val="32"/>
          <w:lang w:eastAsia="zh-CN"/>
        </w:rPr>
      </w:pPr>
      <w:r>
        <w:rPr>
          <w:rFonts w:hint="eastAsia" w:ascii="黑体" w:hAnsi="黑体" w:eastAsia="黑体" w:cs="黑体"/>
          <w:b w:val="0"/>
          <w:bCs w:val="0"/>
          <w:sz w:val="32"/>
          <w:szCs w:val="32"/>
          <w:lang w:val="en-US" w:eastAsia="zh-CN"/>
        </w:rPr>
        <w:t>第二十二条</w:t>
      </w:r>
      <w:r>
        <w:rPr>
          <w:rFonts w:hint="eastAsia" w:ascii="仿宋_GB2312" w:hAnsi="仿宋_GB2312" w:eastAsia="仿宋_GB2312" w:cs="仿宋_GB2312"/>
          <w:color w:val="auto"/>
          <w:spacing w:val="-4"/>
          <w:sz w:val="32"/>
          <w:szCs w:val="32"/>
          <w:lang w:eastAsia="zh-CN"/>
        </w:rPr>
        <w:t xml:space="preserve"> 矿山未能按照矿山开</w:t>
      </w:r>
      <w:r>
        <w:rPr>
          <w:rFonts w:hint="eastAsia" w:ascii="仿宋_GB2312" w:hAnsi="仿宋_GB2312" w:eastAsia="仿宋_GB2312" w:cs="仿宋_GB2312"/>
          <w:color w:val="auto"/>
          <w:spacing w:val="-4"/>
          <w:sz w:val="32"/>
          <w:szCs w:val="32"/>
          <w:lang w:val="en-US" w:eastAsia="zh-CN"/>
        </w:rPr>
        <w:t>采</w:t>
      </w:r>
      <w:r>
        <w:rPr>
          <w:rFonts w:hint="eastAsia" w:ascii="仿宋_GB2312" w:hAnsi="仿宋_GB2312" w:eastAsia="仿宋_GB2312" w:cs="仿宋_GB2312"/>
          <w:color w:val="auto"/>
          <w:spacing w:val="-4"/>
          <w:sz w:val="32"/>
          <w:szCs w:val="32"/>
          <w:lang w:eastAsia="zh-CN"/>
        </w:rPr>
        <w:t>方案开采完毕，乙方需继续开采的，乙方应按规定在采矿许可证有效期届满的30日前，向</w:t>
      </w:r>
      <w:r>
        <w:rPr>
          <w:rFonts w:hint="eastAsia" w:ascii="Times New Roman" w:hAnsi="仿宋_GB2312" w:eastAsia="仿宋_GB2312" w:cs="Times New Roman"/>
          <w:color w:val="auto"/>
          <w:kern w:val="21"/>
          <w:sz w:val="32"/>
          <w:szCs w:val="32"/>
          <w:lang w:eastAsia="zh-CN"/>
        </w:rPr>
        <w:t>甲方</w:t>
      </w:r>
      <w:r>
        <w:rPr>
          <w:rFonts w:hint="eastAsia" w:ascii="仿宋_GB2312" w:hAnsi="仿宋_GB2312" w:eastAsia="仿宋_GB2312" w:cs="仿宋_GB2312"/>
          <w:color w:val="auto"/>
          <w:spacing w:val="-4"/>
          <w:sz w:val="32"/>
          <w:szCs w:val="32"/>
          <w:lang w:eastAsia="zh-CN"/>
        </w:rPr>
        <w:t>提出采矿权延续申请，除公共利益需要外，乙方在一次性缴纳延期相关费用后可予以批准有关采矿权延续申请。</w:t>
      </w:r>
    </w:p>
    <w:p w14:paraId="1CEA0FDE">
      <w:pPr>
        <w:keepNext w:val="0"/>
        <w:keepLines w:val="0"/>
        <w:pageBreakBefore w:val="0"/>
        <w:wordWrap/>
        <w:overflowPunct/>
        <w:bidi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二十三条</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rPr>
        <w:t>有下列情形之一的，本合同自动解除:</w:t>
      </w:r>
    </w:p>
    <w:p w14:paraId="6604A1CA">
      <w:pPr>
        <w:keepNext w:val="0"/>
        <w:keepLines w:val="0"/>
        <w:pageBreakBefore w:val="0"/>
        <w:numPr>
          <w:ilvl w:val="0"/>
          <w:numId w:val="0"/>
        </w:numPr>
        <w:wordWrap/>
        <w:overflowPunct/>
        <w:bidi w:val="0"/>
        <w:spacing w:line="540" w:lineRule="exact"/>
        <w:ind w:firstLine="640" w:firstLineChars="200"/>
        <w:jc w:val="both"/>
        <w:textAlignment w:val="baseline"/>
        <w:rPr>
          <w:rFonts w:hint="eastAsia" w:ascii="Times New Roman" w:hAnsi="Times New Roman" w:eastAsia="仿宋_GB2312" w:cs="Times New Roman"/>
          <w:color w:val="auto"/>
          <w:kern w:val="21"/>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乙方因自身原因，逾期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rPr>
        <w:t>足额缴纳采矿权出让收益</w:t>
      </w:r>
      <w:r>
        <w:rPr>
          <w:rFonts w:hint="eastAsia" w:ascii="仿宋_GB2312" w:hAnsi="仿宋_GB2312" w:eastAsia="仿宋_GB2312" w:cs="仿宋_GB2312"/>
          <w:sz w:val="32"/>
          <w:szCs w:val="32"/>
          <w:lang w:val="en-US" w:eastAsia="zh-CN"/>
        </w:rPr>
        <w:t>价款</w:t>
      </w:r>
      <w:r>
        <w:rPr>
          <w:rFonts w:hint="eastAsia" w:ascii="仿宋_GB2312" w:hAnsi="仿宋_GB2312" w:eastAsia="仿宋_GB2312" w:cs="仿宋_GB2312"/>
          <w:sz w:val="32"/>
          <w:szCs w:val="32"/>
        </w:rPr>
        <w:t>的(仅用于按出让金额形式征收且一次性缴纳)</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kern w:val="21"/>
          <w:sz w:val="32"/>
          <w:szCs w:val="32"/>
          <w:lang w:eastAsia="zh-CN"/>
        </w:rPr>
        <w:t>从滞纳之日起每日加收千分之二的滞纳金，</w:t>
      </w:r>
      <w:r>
        <w:rPr>
          <w:rFonts w:hint="eastAsia" w:ascii="Times New Roman" w:hAnsi="Times New Roman" w:eastAsia="仿宋_GB2312" w:cs="Times New Roman"/>
          <w:color w:val="auto"/>
          <w:kern w:val="21"/>
          <w:sz w:val="32"/>
          <w:szCs w:val="32"/>
          <w:lang w:val="en-US" w:eastAsia="zh-CN"/>
        </w:rPr>
        <w:t>并</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rPr>
        <w:t>未足额缴纳</w:t>
      </w:r>
      <w:r>
        <w:rPr>
          <w:rFonts w:hint="eastAsia" w:ascii="仿宋_GB2312" w:hAnsi="仿宋_GB2312" w:eastAsia="仿宋_GB2312" w:cs="仿宋_GB2312"/>
          <w:color w:val="auto"/>
          <w:kern w:val="10"/>
          <w:sz w:val="32"/>
          <w:szCs w:val="32"/>
          <w:lang w:val="en-US" w:eastAsia="zh-CN"/>
        </w:rPr>
        <w:t>采矿权相关的1个资产包价款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10"/>
          <w:sz w:val="32"/>
          <w:szCs w:val="32"/>
          <w:lang w:eastAsia="zh-CN"/>
        </w:rPr>
        <w:t>则视为乙方根本违约，甲方有权单方解除合同并不退还前期乙方缴纳的所有费用，并将</w:t>
      </w:r>
      <w:r>
        <w:rPr>
          <w:rFonts w:hint="eastAsia" w:ascii="Times New Roman" w:hAnsi="Times New Roman" w:eastAsia="仿宋_GB2312" w:cs="Times New Roman"/>
          <w:color w:val="auto"/>
          <w:kern w:val="21"/>
          <w:sz w:val="32"/>
          <w:szCs w:val="32"/>
          <w:lang w:eastAsia="zh-CN"/>
        </w:rPr>
        <w:t>相关信息纳入企业诚信系统。</w:t>
      </w:r>
    </w:p>
    <w:p w14:paraId="6EA35A2F">
      <w:pPr>
        <w:keepNext w:val="0"/>
        <w:keepLines w:val="0"/>
        <w:pageBreakBefore w:val="0"/>
        <w:numPr>
          <w:ilvl w:val="0"/>
          <w:numId w:val="0"/>
        </w:numPr>
        <w:wordWrap/>
        <w:overflowPunct/>
        <w:bidi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(二)乙方因自身原因，未按照本合同约定向甲方申请办理采矿权首次登记的;(仅用于招标/拍卖/挂牌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协议出让采矿权)</w:t>
      </w:r>
    </w:p>
    <w:p w14:paraId="422560B5">
      <w:pPr>
        <w:keepNext w:val="0"/>
        <w:keepLines w:val="0"/>
        <w:pageBreakBefore w:val="0"/>
        <w:wordWrap/>
        <w:overflowPunct/>
        <w:bidi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(三)采矿权消灭的.</w:t>
      </w:r>
    </w:p>
    <w:p w14:paraId="79F62F6C">
      <w:pPr>
        <w:keepNext w:val="0"/>
        <w:keepLines w:val="0"/>
        <w:pageBreakBefore w:val="0"/>
        <w:wordWrap/>
        <w:overflowPunct/>
        <w:bidi w:val="0"/>
        <w:spacing w:line="54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合同解除后，甲方按规定处置矿业权出让收益、采矿权登记等相关事宜，为了公共利益需要，矿业权被收回的，应</w:t>
      </w:r>
      <w:r>
        <w:rPr>
          <w:rFonts w:hint="eastAsia" w:ascii="仿宋_GB2312" w:hAnsi="仿宋_GB2312" w:eastAsia="仿宋_GB2312" w:cs="仿宋_GB2312"/>
          <w:color w:val="auto"/>
          <w:sz w:val="32"/>
          <w:szCs w:val="32"/>
        </w:rPr>
        <w:t>当依法给予公平、合理的补偿。</w:t>
      </w:r>
    </w:p>
    <w:p w14:paraId="5B71935F">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baseline"/>
        <w:rPr>
          <w:rFonts w:ascii="Times New Roman" w:hAnsi="Times New Roman" w:eastAsia="仿宋_GB2312" w:cs="Times New Roman"/>
          <w:color w:val="auto"/>
          <w:kern w:val="21"/>
          <w:sz w:val="32"/>
          <w:szCs w:val="32"/>
          <w:lang w:eastAsia="zh-CN"/>
        </w:rPr>
      </w:pPr>
      <w:r>
        <w:rPr>
          <w:rFonts w:hint="eastAsia" w:ascii="Times New Roman" w:hAnsi="Times New Roman" w:eastAsia="仿宋_GB2312" w:cs="Times New Roman"/>
          <w:color w:val="auto"/>
          <w:kern w:val="21"/>
          <w:sz w:val="32"/>
          <w:szCs w:val="32"/>
          <w:lang w:eastAsia="zh-CN"/>
        </w:rPr>
        <w:t>（</w:t>
      </w:r>
      <w:r>
        <w:rPr>
          <w:rFonts w:hint="eastAsia" w:ascii="Times New Roman" w:hAnsi="Times New Roman" w:eastAsia="仿宋_GB2312" w:cs="Times New Roman"/>
          <w:color w:val="auto"/>
          <w:kern w:val="21"/>
          <w:sz w:val="32"/>
          <w:szCs w:val="32"/>
          <w:lang w:val="en-US" w:eastAsia="zh-CN"/>
        </w:rPr>
        <w:t>四</w:t>
      </w:r>
      <w:r>
        <w:rPr>
          <w:rFonts w:hint="eastAsia" w:ascii="Times New Roman" w:hAnsi="Times New Roman" w:eastAsia="仿宋_GB2312" w:cs="Times New Roman"/>
          <w:color w:val="auto"/>
          <w:kern w:val="21"/>
          <w:sz w:val="32"/>
          <w:szCs w:val="32"/>
          <w:lang w:eastAsia="zh-CN"/>
        </w:rPr>
        <w:t>）乙方因违反法律法规被吊销采矿许可证、撤销采矿登记，或未在采矿许可证有效期届满前按要求申请延续登记导致采矿许可证自行废止，或者按规定办理采矿权注销的，本合同自动解除。已缴纳的矿业权出让收益按规定处置，乙方应按规定继续履行相关责任义务。</w:t>
      </w:r>
    </w:p>
    <w:p w14:paraId="2D2F730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rPr>
          <w:rFonts w:ascii="Times New Roman" w:hAnsi="Times New Roman" w:eastAsia="仿宋_GB2312" w:cs="Times New Roman"/>
          <w:color w:val="auto"/>
          <w:lang w:eastAsia="zh-CN"/>
        </w:rPr>
      </w:pPr>
      <w:r>
        <w:rPr>
          <w:rFonts w:hint="eastAsia" w:ascii="Times New Roman" w:hAnsi="Times New Roman" w:eastAsia="仿宋_GB2312" w:cs="Times New Roman"/>
          <w:color w:val="auto"/>
          <w:kern w:val="21"/>
          <w:sz w:val="32"/>
          <w:szCs w:val="32"/>
          <w:lang w:eastAsia="zh-CN"/>
        </w:rPr>
        <w:t>（</w:t>
      </w:r>
      <w:r>
        <w:rPr>
          <w:rFonts w:hint="eastAsia" w:ascii="Times New Roman" w:hAnsi="Times New Roman" w:eastAsia="仿宋_GB2312" w:cs="Times New Roman"/>
          <w:color w:val="auto"/>
          <w:kern w:val="21"/>
          <w:sz w:val="32"/>
          <w:szCs w:val="32"/>
          <w:lang w:val="en-US" w:eastAsia="zh-CN"/>
        </w:rPr>
        <w:t>五</w:t>
      </w:r>
      <w:r>
        <w:rPr>
          <w:rFonts w:hint="eastAsia" w:ascii="Times New Roman" w:hAnsi="Times New Roman" w:eastAsia="仿宋_GB2312" w:cs="Times New Roman"/>
          <w:color w:val="auto"/>
          <w:kern w:val="21"/>
          <w:sz w:val="32"/>
          <w:szCs w:val="32"/>
          <w:lang w:eastAsia="zh-CN"/>
        </w:rPr>
        <w:t>）乙方未按照审查通过的矿山地质环境保护与土地复垦方案治理的，甲方责令限期改正后，逾期拒不改正的或者整改不到位的，甲方有权解除本合同，甲方不再受理其申请新的采矿权或者申请采矿权延续、变更、注销登记，并追究生态损害赔偿责任。</w:t>
      </w:r>
    </w:p>
    <w:p w14:paraId="4AB83B0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rPr>
          <w:rFonts w:ascii="Times New Roman" w:hAnsi="Times New Roman" w:eastAsia="仿宋_GB2312" w:cs="Times New Roman"/>
          <w:color w:val="auto"/>
          <w:kern w:val="21"/>
          <w:sz w:val="32"/>
          <w:szCs w:val="32"/>
          <w:lang w:eastAsia="zh-CN"/>
        </w:rPr>
      </w:pPr>
      <w:r>
        <w:rPr>
          <w:rFonts w:hint="eastAsia" w:ascii="Times New Roman" w:hAnsi="Times New Roman" w:eastAsia="仿宋_GB2312" w:cs="Times New Roman"/>
          <w:color w:val="auto"/>
          <w:kern w:val="21"/>
          <w:sz w:val="32"/>
          <w:szCs w:val="32"/>
          <w:lang w:eastAsia="zh-CN"/>
        </w:rPr>
        <w:t>（</w:t>
      </w:r>
      <w:r>
        <w:rPr>
          <w:rFonts w:hint="eastAsia" w:ascii="Times New Roman" w:hAnsi="Times New Roman" w:eastAsia="仿宋_GB2312" w:cs="Times New Roman"/>
          <w:color w:val="auto"/>
          <w:kern w:val="21"/>
          <w:sz w:val="32"/>
          <w:szCs w:val="32"/>
          <w:lang w:val="en-US" w:eastAsia="zh-CN"/>
        </w:rPr>
        <w:t>六</w:t>
      </w:r>
      <w:r>
        <w:rPr>
          <w:rFonts w:hint="eastAsia" w:ascii="Times New Roman" w:hAnsi="Times New Roman" w:eastAsia="仿宋_GB2312" w:cs="Times New Roman"/>
          <w:color w:val="auto"/>
          <w:kern w:val="21"/>
          <w:sz w:val="32"/>
          <w:szCs w:val="32"/>
          <w:lang w:eastAsia="zh-CN"/>
        </w:rPr>
        <w:t>）如因国家政策调整、重大自然灾害和破产清算，甲方依法撤回采矿许可，并解除本合同。乙方须自行无偿拆除采矿设备及相关附属设施。乙方有权申请按照实际动用的资源储量进行采矿权出让收益核定。由甲方根据采矿权实际动用的资源储量进行核定后多退少补。</w:t>
      </w:r>
    </w:p>
    <w:p w14:paraId="6E87DF35">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rPr>
          <w:rFonts w:hint="eastAsia" w:ascii="Times New Roman" w:hAnsi="Times New Roman" w:eastAsia="仿宋_GB2312" w:cs="Times New Roman"/>
          <w:color w:val="auto"/>
          <w:kern w:val="21"/>
          <w:sz w:val="32"/>
          <w:szCs w:val="32"/>
          <w:lang w:eastAsia="zh-CN"/>
        </w:rPr>
      </w:pPr>
      <w:r>
        <w:rPr>
          <w:rFonts w:hint="eastAsia" w:ascii="Times New Roman" w:hAnsi="Times New Roman" w:eastAsia="仿宋_GB2312" w:cs="Times New Roman"/>
          <w:color w:val="auto"/>
          <w:kern w:val="21"/>
          <w:sz w:val="32"/>
          <w:szCs w:val="32"/>
          <w:lang w:eastAsia="zh-CN"/>
        </w:rPr>
        <w:t>（</w:t>
      </w:r>
      <w:r>
        <w:rPr>
          <w:rFonts w:hint="eastAsia" w:ascii="Times New Roman" w:hAnsi="Times New Roman" w:eastAsia="仿宋_GB2312" w:cs="Times New Roman"/>
          <w:color w:val="auto"/>
          <w:kern w:val="21"/>
          <w:sz w:val="32"/>
          <w:szCs w:val="32"/>
          <w:lang w:val="en-US" w:eastAsia="zh-CN"/>
        </w:rPr>
        <w:t>七</w:t>
      </w:r>
      <w:r>
        <w:rPr>
          <w:rFonts w:hint="eastAsia" w:ascii="Times New Roman" w:hAnsi="Times New Roman" w:eastAsia="仿宋_GB2312" w:cs="Times New Roman"/>
          <w:color w:val="auto"/>
          <w:kern w:val="21"/>
          <w:sz w:val="32"/>
          <w:szCs w:val="32"/>
          <w:lang w:eastAsia="zh-CN"/>
        </w:rPr>
        <w:t>）因采矿权出让登记所依据的法律、法规、规章修改或者废止，或者所依据的客观情况发生重大变化的，为了公共利益的需要，</w:t>
      </w:r>
      <w:r>
        <w:rPr>
          <w:rFonts w:hint="eastAsia" w:ascii="Times New Roman" w:hAnsi="仿宋_GB2312" w:eastAsia="仿宋_GB2312" w:cs="Times New Roman"/>
          <w:color w:val="auto"/>
          <w:kern w:val="21"/>
          <w:sz w:val="32"/>
          <w:szCs w:val="32"/>
          <w:lang w:eastAsia="zh-CN"/>
        </w:rPr>
        <w:t>甲方</w:t>
      </w:r>
      <w:r>
        <w:rPr>
          <w:rFonts w:hint="eastAsia" w:ascii="Times New Roman" w:hAnsi="Times New Roman" w:eastAsia="仿宋_GB2312" w:cs="Times New Roman"/>
          <w:color w:val="auto"/>
          <w:kern w:val="21"/>
          <w:sz w:val="32"/>
          <w:szCs w:val="32"/>
          <w:lang w:eastAsia="zh-CN"/>
        </w:rPr>
        <w:t>可以依法变更或者撤回采矿登记，并解除合同。由甲方对地上建筑物、构筑物及其他附属生产设施的价值进行核定后给予适当补偿，并针对采矿权实际动用的资源储量多退少补。</w:t>
      </w:r>
    </w:p>
    <w:p w14:paraId="08C2D73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rPr>
          <w:rFonts w:hint="default"/>
          <w:lang w:val="en-US" w:eastAsia="zh-CN"/>
        </w:rPr>
      </w:pPr>
      <w:r>
        <w:rPr>
          <w:rFonts w:hint="eastAsia" w:ascii="Times New Roman" w:hAnsi="Times New Roman" w:eastAsia="仿宋_GB2312" w:cs="Times New Roman"/>
          <w:color w:val="auto"/>
          <w:kern w:val="21"/>
          <w:sz w:val="32"/>
          <w:szCs w:val="32"/>
          <w:lang w:val="en-US" w:eastAsia="zh-CN"/>
        </w:rPr>
        <w:t>（八）乙方</w:t>
      </w:r>
      <w:r>
        <w:rPr>
          <w:rFonts w:hint="eastAsia" w:ascii="Times New Roman" w:hAnsi="Times New Roman" w:eastAsia="仿宋_GB2312" w:cs="Times New Roman"/>
          <w:color w:val="auto"/>
          <w:kern w:val="21"/>
          <w:sz w:val="32"/>
          <w:szCs w:val="32"/>
          <w:lang w:eastAsia="zh-CN"/>
        </w:rPr>
        <w:t>提供虚假文件隐瞒事实或采取行贿、恶意串通等非法手段中标或者竞得的，竞得结果无效，</w:t>
      </w:r>
      <w:r>
        <w:rPr>
          <w:rFonts w:hint="eastAsia" w:ascii="Times New Roman" w:hAnsi="Times New Roman" w:eastAsia="仿宋_GB2312" w:cs="Times New Roman"/>
          <w:color w:val="auto"/>
          <w:kern w:val="21"/>
          <w:sz w:val="32"/>
          <w:szCs w:val="32"/>
          <w:lang w:val="en-US" w:eastAsia="zh-CN"/>
        </w:rPr>
        <w:t>甲方</w:t>
      </w:r>
      <w:r>
        <w:rPr>
          <w:rFonts w:hint="eastAsia" w:ascii="Times New Roman" w:hAnsi="Times New Roman" w:eastAsia="仿宋_GB2312" w:cs="Times New Roman"/>
          <w:color w:val="auto"/>
          <w:kern w:val="21"/>
          <w:sz w:val="32"/>
          <w:szCs w:val="32"/>
          <w:lang w:eastAsia="zh-CN"/>
        </w:rPr>
        <w:t>可以取消</w:t>
      </w:r>
      <w:r>
        <w:rPr>
          <w:rFonts w:hint="eastAsia" w:ascii="Times New Roman" w:hAnsi="Times New Roman" w:eastAsia="仿宋_GB2312" w:cs="Times New Roman"/>
          <w:color w:val="auto"/>
          <w:kern w:val="21"/>
          <w:sz w:val="32"/>
          <w:szCs w:val="32"/>
          <w:lang w:val="en-US" w:eastAsia="zh-CN"/>
        </w:rPr>
        <w:t>乙方</w:t>
      </w:r>
      <w:r>
        <w:rPr>
          <w:rFonts w:hint="eastAsia" w:ascii="Times New Roman" w:hAnsi="Times New Roman" w:eastAsia="仿宋_GB2312" w:cs="Times New Roman"/>
          <w:color w:val="auto"/>
          <w:kern w:val="21"/>
          <w:sz w:val="32"/>
          <w:szCs w:val="32"/>
          <w:lang w:eastAsia="zh-CN"/>
        </w:rPr>
        <w:t>的采矿权资格，解除合同，没收竞买保证金，可要求竞得人赔偿损失，对直接负责的主管人员和其他直接责任人员，由有关机关给予行政处分，构成犯罪的，由司法机关依法追究刑事责任。</w:t>
      </w:r>
    </w:p>
    <w:p w14:paraId="5D024AEF">
      <w:pPr>
        <w:pStyle w:val="5"/>
        <w:keepNext w:val="0"/>
        <w:keepLines w:val="0"/>
        <w:pageBreakBefore w:val="0"/>
        <w:widowControl w:val="0"/>
        <w:kinsoku/>
        <w:wordWrap/>
        <w:overflowPunct/>
        <w:topLinePunct/>
        <w:autoSpaceDE/>
        <w:autoSpaceDN/>
        <w:bidi w:val="0"/>
        <w:adjustRightInd/>
        <w:snapToGrid/>
        <w:spacing w:line="580" w:lineRule="exact"/>
        <w:ind w:firstLine="640" w:firstLineChars="200"/>
        <w:jc w:val="both"/>
        <w:rPr>
          <w:rFonts w:ascii="Times New Roman" w:hAnsi="Times New Roman" w:eastAsia="仿宋_GB2312" w:cs="Times New Roman"/>
          <w:color w:val="auto"/>
          <w:kern w:val="21"/>
          <w:sz w:val="32"/>
          <w:szCs w:val="32"/>
          <w:lang w:eastAsia="zh-CN"/>
        </w:rPr>
      </w:pPr>
      <w:r>
        <w:rPr>
          <w:rFonts w:hint="eastAsia" w:ascii="黑体" w:hAnsi="黑体" w:eastAsia="黑体" w:cs="黑体"/>
          <w:color w:val="auto"/>
          <w:kern w:val="21"/>
          <w:sz w:val="32"/>
          <w:szCs w:val="32"/>
          <w:lang w:eastAsia="zh-CN"/>
        </w:rPr>
        <w:t>第二十</w:t>
      </w:r>
      <w:r>
        <w:rPr>
          <w:rFonts w:hint="eastAsia" w:ascii="黑体" w:hAnsi="黑体" w:eastAsia="黑体" w:cs="黑体"/>
          <w:color w:val="auto"/>
          <w:kern w:val="21"/>
          <w:sz w:val="32"/>
          <w:szCs w:val="32"/>
          <w:lang w:val="en-US" w:eastAsia="zh-CN"/>
        </w:rPr>
        <w:t>四</w:t>
      </w:r>
      <w:r>
        <w:rPr>
          <w:rFonts w:hint="eastAsia" w:ascii="黑体" w:hAnsi="黑体" w:eastAsia="黑体" w:cs="黑体"/>
          <w:color w:val="auto"/>
          <w:kern w:val="21"/>
          <w:sz w:val="32"/>
          <w:szCs w:val="32"/>
          <w:lang w:eastAsia="zh-CN"/>
        </w:rPr>
        <w:t>条</w:t>
      </w:r>
      <w:r>
        <w:rPr>
          <w:rFonts w:hint="eastAsia" w:ascii="Times New Roman" w:hAnsi="仿宋_GB2312" w:eastAsia="仿宋_GB2312" w:cs="Times New Roman"/>
          <w:color w:val="auto"/>
          <w:kern w:val="21"/>
          <w:sz w:val="32"/>
          <w:szCs w:val="32"/>
          <w:lang w:eastAsia="zh-CN"/>
        </w:rPr>
        <w:t xml:space="preserve"> </w:t>
      </w:r>
      <w:r>
        <w:rPr>
          <w:rFonts w:hint="eastAsia" w:ascii="黑体" w:hAnsi="黑体" w:eastAsia="黑体" w:cs="黑体"/>
          <w:color w:val="auto"/>
          <w:kern w:val="21"/>
          <w:sz w:val="32"/>
          <w:szCs w:val="32"/>
          <w:lang w:eastAsia="zh-CN"/>
        </w:rPr>
        <w:t>乙方应当自行承担下列可能存在的风险：</w:t>
      </w:r>
    </w:p>
    <w:p w14:paraId="20D9CBCB">
      <w:pPr>
        <w:pStyle w:val="5"/>
        <w:keepNext w:val="0"/>
        <w:keepLines w:val="0"/>
        <w:pageBreakBefore w:val="0"/>
        <w:widowControl w:val="0"/>
        <w:kinsoku/>
        <w:wordWrap/>
        <w:overflowPunct/>
        <w:topLinePunct/>
        <w:autoSpaceDE/>
        <w:autoSpaceDN/>
        <w:bidi w:val="0"/>
        <w:adjustRightInd/>
        <w:snapToGrid/>
        <w:spacing w:line="580" w:lineRule="exact"/>
        <w:ind w:firstLine="640" w:firstLineChars="200"/>
        <w:jc w:val="both"/>
        <w:rPr>
          <w:rFonts w:ascii="Times New Roman" w:hAnsi="Times New Roman" w:eastAsia="仿宋_GB2312" w:cs="Times New Roman"/>
          <w:color w:val="auto"/>
          <w:kern w:val="21"/>
          <w:sz w:val="32"/>
          <w:szCs w:val="32"/>
          <w:lang w:eastAsia="zh-CN"/>
        </w:rPr>
      </w:pPr>
      <w:r>
        <w:rPr>
          <w:rFonts w:hint="eastAsia" w:ascii="Times New Roman" w:hAnsi="Times New Roman" w:eastAsia="仿宋_GB2312" w:cs="Times New Roman"/>
          <w:color w:val="auto"/>
          <w:kern w:val="21"/>
          <w:sz w:val="32"/>
          <w:szCs w:val="32"/>
          <w:lang w:eastAsia="zh-CN"/>
        </w:rPr>
        <w:t>（一）由于地质条件的复杂性和勘查工作的局限性，出让的采矿权矿区范围内资源储量与实际情况可能存在差异；</w:t>
      </w:r>
      <w:r>
        <w:rPr>
          <w:rFonts w:hint="eastAsia" w:ascii="仿宋_GB2312" w:hAnsi="仿宋_GB2312" w:eastAsia="仿宋_GB2312" w:cs="仿宋_GB2312"/>
          <w:color w:val="auto"/>
          <w:kern w:val="21"/>
          <w:sz w:val="32"/>
          <w:szCs w:val="32"/>
          <w:lang w:eastAsia="zh-CN"/>
        </w:rPr>
        <w:t>乙方作为商事主体已作了相应的现场踏勘，了解勘查情况与实际采矿中误差情况，并对此知悉且自愿承担一切风险，后期不会以任何理由向甲方主张任何赔偿、补偿权利</w:t>
      </w:r>
      <w:r>
        <w:rPr>
          <w:rFonts w:hint="eastAsia" w:ascii="Times New Roman" w:hAnsi="Times New Roman" w:eastAsia="仿宋_GB2312" w:cs="Times New Roman"/>
          <w:color w:val="auto"/>
          <w:kern w:val="21"/>
          <w:sz w:val="32"/>
          <w:szCs w:val="32"/>
          <w:lang w:eastAsia="zh-CN"/>
        </w:rPr>
        <w:t>；</w:t>
      </w:r>
    </w:p>
    <w:p w14:paraId="201FB2B5">
      <w:pPr>
        <w:pStyle w:val="5"/>
        <w:keepNext w:val="0"/>
        <w:keepLines w:val="0"/>
        <w:pageBreakBefore w:val="0"/>
        <w:widowControl w:val="0"/>
        <w:kinsoku/>
        <w:wordWrap/>
        <w:overflowPunct/>
        <w:topLinePunct/>
        <w:autoSpaceDE/>
        <w:autoSpaceDN/>
        <w:bidi w:val="0"/>
        <w:adjustRightInd/>
        <w:snapToGrid/>
        <w:spacing w:line="580" w:lineRule="exact"/>
        <w:ind w:firstLine="640" w:firstLineChars="200"/>
        <w:jc w:val="both"/>
        <w:rPr>
          <w:rFonts w:ascii="Times New Roman" w:hAnsi="Times New Roman" w:eastAsia="仿宋_GB2312" w:cs="Times New Roman"/>
          <w:color w:val="auto"/>
          <w:kern w:val="21"/>
          <w:sz w:val="32"/>
          <w:szCs w:val="32"/>
          <w:lang w:eastAsia="zh-CN"/>
        </w:rPr>
      </w:pPr>
      <w:r>
        <w:rPr>
          <w:rFonts w:hint="eastAsia" w:ascii="Times New Roman" w:hAnsi="Times New Roman" w:eastAsia="仿宋_GB2312" w:cs="Times New Roman"/>
          <w:color w:val="auto"/>
          <w:kern w:val="21"/>
          <w:sz w:val="32"/>
          <w:szCs w:val="32"/>
          <w:lang w:eastAsia="zh-CN"/>
        </w:rPr>
        <w:t>（二）矿产资源规划、产业政策调整等因素对矿业权人行使权利义务的影响；</w:t>
      </w:r>
    </w:p>
    <w:p w14:paraId="566449B0">
      <w:pPr>
        <w:pStyle w:val="5"/>
        <w:keepNext w:val="0"/>
        <w:keepLines w:val="0"/>
        <w:pageBreakBefore w:val="0"/>
        <w:widowControl w:val="0"/>
        <w:kinsoku/>
        <w:wordWrap/>
        <w:overflowPunct/>
        <w:topLinePunct/>
        <w:autoSpaceDE/>
        <w:autoSpaceDN/>
        <w:bidi w:val="0"/>
        <w:adjustRightInd/>
        <w:snapToGrid/>
        <w:spacing w:line="580" w:lineRule="exact"/>
        <w:ind w:firstLine="640" w:firstLineChars="200"/>
        <w:jc w:val="both"/>
        <w:rPr>
          <w:rFonts w:ascii="Times New Roman" w:hAnsi="Times New Roman" w:eastAsia="仿宋_GB2312" w:cs="Times New Roman"/>
          <w:color w:val="auto"/>
          <w:kern w:val="21"/>
          <w:sz w:val="32"/>
          <w:szCs w:val="32"/>
          <w:lang w:eastAsia="zh-CN"/>
        </w:rPr>
      </w:pPr>
      <w:r>
        <w:rPr>
          <w:rFonts w:hint="eastAsia" w:ascii="Times New Roman" w:hAnsi="Times New Roman" w:eastAsia="仿宋_GB2312" w:cs="Times New Roman"/>
          <w:color w:val="auto"/>
          <w:kern w:val="21"/>
          <w:sz w:val="32"/>
          <w:szCs w:val="32"/>
          <w:lang w:eastAsia="zh-CN"/>
        </w:rPr>
        <w:t>（三）</w:t>
      </w:r>
      <w:r>
        <w:rPr>
          <w:rFonts w:ascii="Times New Roman" w:hAnsi="仿宋_GB2312" w:eastAsia="仿宋_GB2312" w:cs="Times New Roman"/>
          <w:color w:val="auto"/>
          <w:kern w:val="21"/>
          <w:sz w:val="32"/>
          <w:szCs w:val="32"/>
          <w:lang w:eastAsia="zh-CN"/>
        </w:rPr>
        <w:t>生态和环境保护、地质灾害防治、安全生产要求等对特定采矿选矿方式方法的限制；</w:t>
      </w:r>
    </w:p>
    <w:p w14:paraId="444E0AD4">
      <w:pPr>
        <w:keepNext w:val="0"/>
        <w:keepLines w:val="0"/>
        <w:pageBreakBefore w:val="0"/>
        <w:widowControl w:val="0"/>
        <w:kinsoku/>
        <w:wordWrap/>
        <w:overflowPunct/>
        <w:autoSpaceDE/>
        <w:autoSpaceDN/>
        <w:bidi w:val="0"/>
        <w:spacing w:line="580" w:lineRule="exact"/>
        <w:ind w:firstLine="640" w:firstLineChars="200"/>
        <w:jc w:val="both"/>
        <w:textAlignment w:val="auto"/>
        <w:rPr>
          <w:rFonts w:hint="eastAsia" w:ascii="Times New Roman" w:hAnsi="Times New Roman" w:eastAsia="仿宋_GB2312" w:cs="Times New Roman"/>
          <w:color w:val="auto"/>
          <w:kern w:val="21"/>
          <w:sz w:val="32"/>
          <w:szCs w:val="32"/>
          <w:lang w:eastAsia="zh-CN"/>
        </w:rPr>
      </w:pPr>
      <w:r>
        <w:rPr>
          <w:rFonts w:hint="eastAsia" w:ascii="Times New Roman" w:hAnsi="仿宋_GB2312" w:eastAsia="仿宋_GB2312" w:cs="Times New Roman"/>
          <w:color w:val="auto"/>
          <w:kern w:val="21"/>
          <w:sz w:val="32"/>
          <w:szCs w:val="32"/>
          <w:lang w:eastAsia="zh-CN"/>
        </w:rPr>
        <w:t>（四）出让的采矿权范围的运输道路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10"/>
          <w:sz w:val="32"/>
          <w:szCs w:val="32"/>
          <w:lang w:eastAsia="zh-CN"/>
        </w:rPr>
        <w:t>宽度不超过8米</w:t>
      </w:r>
      <w:r>
        <w:rPr>
          <w:rFonts w:hint="eastAsia" w:ascii="仿宋_GB2312" w:hAnsi="仿宋_GB2312" w:eastAsia="仿宋_GB2312" w:cs="仿宋_GB2312"/>
          <w:color w:val="auto"/>
          <w:sz w:val="32"/>
          <w:szCs w:val="32"/>
          <w:lang w:eastAsia="zh-CN"/>
        </w:rPr>
        <w:t>）</w:t>
      </w:r>
      <w:r>
        <w:rPr>
          <w:rFonts w:hint="eastAsia" w:ascii="Times New Roman" w:hAnsi="仿宋_GB2312" w:eastAsia="仿宋_GB2312" w:cs="Times New Roman"/>
          <w:color w:val="auto"/>
          <w:kern w:val="21"/>
          <w:sz w:val="32"/>
          <w:szCs w:val="32"/>
          <w:lang w:eastAsia="zh-CN"/>
        </w:rPr>
        <w:t>需乙方自行协商建设。</w:t>
      </w:r>
      <w:r>
        <w:rPr>
          <w:rFonts w:hint="eastAsia" w:ascii="Times New Roman" w:hAnsi="Times New Roman" w:eastAsia="仿宋_GB2312" w:cs="Times New Roman"/>
          <w:color w:val="auto"/>
          <w:kern w:val="21"/>
          <w:sz w:val="32"/>
          <w:szCs w:val="32"/>
          <w:lang w:eastAsia="zh-CN"/>
        </w:rPr>
        <w:t xml:space="preserve"> </w:t>
      </w:r>
    </w:p>
    <w:p w14:paraId="3BDE5309">
      <w:pPr>
        <w:keepNext w:val="0"/>
        <w:keepLines w:val="0"/>
        <w:pageBreakBefore w:val="0"/>
        <w:widowControl w:val="0"/>
        <w:kinsoku/>
        <w:wordWrap/>
        <w:overflowPunct/>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32"/>
          <w:sz w:val="32"/>
          <w:szCs w:val="32"/>
          <w:lang w:val="en-US" w:eastAsia="zh-CN"/>
        </w:rPr>
        <w:t>若</w:t>
      </w:r>
      <w:r>
        <w:rPr>
          <w:rFonts w:hint="eastAsia" w:ascii="仿宋_GB2312" w:hAnsi="仿宋_GB2312" w:eastAsia="仿宋_GB2312" w:cs="仿宋_GB2312"/>
          <w:color w:val="auto"/>
          <w:sz w:val="32"/>
          <w:szCs w:val="32"/>
          <w:lang w:eastAsia="zh-CN"/>
        </w:rPr>
        <w:t>在开采区范围以外拟建矿山配套生产设施用地，由</w:t>
      </w:r>
      <w:r>
        <w:rPr>
          <w:rFonts w:hint="eastAsia" w:ascii="仿宋_GB2312" w:hAnsi="仿宋_GB2312" w:eastAsia="仿宋_GB2312" w:cs="仿宋_GB2312"/>
          <w:color w:val="auto"/>
          <w:kern w:val="32"/>
          <w:sz w:val="32"/>
          <w:szCs w:val="32"/>
          <w:lang w:val="en-US" w:eastAsia="zh-CN"/>
        </w:rPr>
        <w:t>乙方</w:t>
      </w:r>
      <w:r>
        <w:rPr>
          <w:rFonts w:hint="eastAsia" w:ascii="仿宋_GB2312" w:hAnsi="仿宋_GB2312" w:eastAsia="仿宋_GB2312" w:cs="仿宋_GB2312"/>
          <w:color w:val="auto"/>
          <w:sz w:val="32"/>
          <w:szCs w:val="32"/>
          <w:lang w:eastAsia="zh-CN"/>
        </w:rPr>
        <w:t>与土地权属单位协调解决用地问题，</w:t>
      </w:r>
      <w:r>
        <w:rPr>
          <w:rFonts w:hint="eastAsia" w:ascii="仿宋_GB2312" w:hAnsi="仿宋_GB2312" w:eastAsia="仿宋_GB2312" w:cs="仿宋_GB2312"/>
          <w:color w:val="auto"/>
          <w:sz w:val="32"/>
          <w:szCs w:val="32"/>
          <w:lang w:val="en-US" w:eastAsia="zh-CN"/>
        </w:rPr>
        <w:t>所产生费用由乙方自行</w:t>
      </w:r>
      <w:r>
        <w:rPr>
          <w:rFonts w:hint="eastAsia" w:ascii="仿宋_GB2312" w:hAnsi="仿宋_GB2312" w:eastAsia="仿宋_GB2312" w:cs="仿宋_GB2312"/>
          <w:color w:val="auto"/>
          <w:sz w:val="32"/>
          <w:szCs w:val="32"/>
          <w:lang w:eastAsia="zh-CN"/>
        </w:rPr>
        <w:t>承担；若在开采区范围</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规划生产设施用地必须申请修编矿产资源开发利用方案，因涉本采矿权选址配套生产设施用地或修编矿产资源开发利用方案所产生的费用，均由</w:t>
      </w:r>
      <w:r>
        <w:rPr>
          <w:rFonts w:hint="eastAsia" w:ascii="仿宋_GB2312" w:hAnsi="仿宋_GB2312" w:eastAsia="仿宋_GB2312" w:cs="仿宋_GB2312"/>
          <w:color w:val="auto"/>
          <w:sz w:val="32"/>
          <w:szCs w:val="32"/>
          <w:lang w:val="en-US" w:eastAsia="zh-CN"/>
        </w:rPr>
        <w:t>乙方自行</w:t>
      </w:r>
      <w:r>
        <w:rPr>
          <w:rFonts w:hint="eastAsia" w:ascii="仿宋_GB2312" w:hAnsi="仿宋_GB2312" w:eastAsia="仿宋_GB2312" w:cs="仿宋_GB2312"/>
          <w:color w:val="auto"/>
          <w:sz w:val="32"/>
          <w:szCs w:val="32"/>
          <w:lang w:eastAsia="zh-CN"/>
        </w:rPr>
        <w:t>承担。</w:t>
      </w:r>
    </w:p>
    <w:p w14:paraId="4A41C7FB">
      <w:pPr>
        <w:pStyle w:val="2"/>
        <w:keepNext w:val="0"/>
        <w:keepLines w:val="0"/>
        <w:pageBreakBefore w:val="0"/>
        <w:wordWrap/>
        <w:overflowPunct/>
        <w:bidi w:val="0"/>
        <w:spacing w:line="600" w:lineRule="exact"/>
        <w:jc w:val="both"/>
        <w:textAlignment w:val="baseline"/>
        <w:rPr>
          <w:rFonts w:hint="eastAsia" w:ascii="仿宋_GB2312" w:hAnsi="仿宋_GB2312" w:eastAsia="仿宋_GB2312" w:cs="仿宋_GB2312"/>
          <w:bCs/>
          <w:snapToGrid w:val="0"/>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Cs/>
          <w:snapToGrid w:val="0"/>
          <w:color w:val="000000" w:themeColor="text1"/>
          <w:sz w:val="32"/>
          <w:szCs w:val="32"/>
          <w:lang w:val="en-US" w:eastAsia="zh-CN" w:bidi="ar-SA"/>
          <w14:textFill>
            <w14:solidFill>
              <w14:schemeClr w14:val="tx1"/>
            </w14:solidFill>
          </w14:textFill>
        </w:rPr>
        <w:t>广东省遂溪县港门镇北地村矿区建筑用砂矿采矿权矿区范围总面积约165581.45平方米（符合矿产资源总体规划），其中符合国土空间规划属于采矿用地的面积约165580.26平方米，不属于采矿用地的面积约1.19平方米（属于林地，位置位于矿区红线边界的边缘处）。竞得人取得该采矿权后，若在办理相关用地手续时，办理不了不属于采矿用地约1.19平方米面积的报批手续，必须承担放弃开采这部分的风险。</w:t>
      </w:r>
    </w:p>
    <w:p w14:paraId="3A35328E">
      <w:pPr>
        <w:pStyle w:val="5"/>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baseline"/>
        <w:rPr>
          <w:rFonts w:ascii="Times New Roman" w:hAnsi="Times New Roman" w:eastAsia="仿宋_GB2312" w:cs="Times New Roman"/>
          <w:color w:val="auto"/>
          <w:kern w:val="21"/>
          <w:sz w:val="32"/>
          <w:szCs w:val="32"/>
          <w:lang w:eastAsia="zh-CN"/>
        </w:rPr>
      </w:pPr>
      <w:r>
        <w:rPr>
          <w:rFonts w:hint="eastAsia" w:ascii="Times New Roman" w:hAnsi="仿宋_GB2312" w:eastAsia="仿宋_GB2312" w:cs="Times New Roman"/>
          <w:color w:val="auto"/>
          <w:kern w:val="21"/>
          <w:sz w:val="32"/>
          <w:szCs w:val="32"/>
          <w:lang w:eastAsia="zh-CN"/>
        </w:rPr>
        <w:t>（</w:t>
      </w:r>
      <w:r>
        <w:rPr>
          <w:rFonts w:hint="eastAsia" w:ascii="Times New Roman" w:hAnsi="仿宋_GB2312" w:eastAsia="仿宋_GB2312" w:cs="Times New Roman"/>
          <w:color w:val="auto"/>
          <w:kern w:val="21"/>
          <w:sz w:val="32"/>
          <w:szCs w:val="32"/>
          <w:lang w:val="en-US" w:eastAsia="zh-CN"/>
        </w:rPr>
        <w:t>七</w:t>
      </w:r>
      <w:r>
        <w:rPr>
          <w:rFonts w:hint="eastAsia" w:ascii="Times New Roman" w:hAnsi="仿宋_GB2312" w:eastAsia="仿宋_GB2312" w:cs="Times New Roman"/>
          <w:color w:val="auto"/>
          <w:kern w:val="21"/>
          <w:sz w:val="32"/>
          <w:szCs w:val="32"/>
          <w:lang w:eastAsia="zh-CN"/>
        </w:rPr>
        <w:t>）</w:t>
      </w:r>
      <w:r>
        <w:rPr>
          <w:rFonts w:ascii="Times New Roman" w:hAnsi="仿宋_GB2312" w:eastAsia="仿宋_GB2312" w:cs="Times New Roman"/>
          <w:color w:val="auto"/>
          <w:kern w:val="21"/>
          <w:sz w:val="32"/>
          <w:szCs w:val="32"/>
          <w:lang w:eastAsia="zh-CN"/>
        </w:rPr>
        <w:t>不可抗力的影响。</w:t>
      </w:r>
    </w:p>
    <w:p w14:paraId="75600544">
      <w:pPr>
        <w:keepNext w:val="0"/>
        <w:keepLines w:val="0"/>
        <w:pageBreakBefore w:val="0"/>
        <w:wordWrap/>
        <w:overflowPunct/>
        <w:bidi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未尽事宜，双方经协商一致后，可另行签订补充协议。补充协议与本合同具有同等法律效力。本合同及补充协议没有约定的，应当按照相关法律法规和规章、政策规定执行。本合同及补充协议签订后，法律法规和规章、政策规定发生变化的，按变化后的规定执行</w:t>
      </w:r>
      <w:r>
        <w:rPr>
          <w:rFonts w:hint="eastAsia" w:ascii="仿宋_GB2312" w:hAnsi="仿宋_GB2312" w:eastAsia="仿宋_GB2312" w:cs="仿宋_GB2312"/>
          <w:sz w:val="32"/>
          <w:szCs w:val="32"/>
          <w:lang w:eastAsia="zh-CN"/>
        </w:rPr>
        <w:t>。</w:t>
      </w:r>
    </w:p>
    <w:p w14:paraId="1014E915">
      <w:pPr>
        <w:keepNext w:val="0"/>
        <w:keepLines w:val="0"/>
        <w:pageBreakBefore w:val="0"/>
        <w:wordWrap/>
        <w:overflowPunct/>
        <w:bidi w:val="0"/>
        <w:spacing w:line="60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本合同及补充协议履行过程中</w:t>
      </w:r>
      <w:r>
        <w:rPr>
          <w:rFonts w:hint="eastAsia" w:ascii="仿宋_GB2312" w:hAnsi="仿宋_GB2312" w:eastAsia="仿宋_GB2312" w:cs="仿宋_GB2312"/>
          <w:spacing w:val="-17"/>
          <w:sz w:val="32"/>
          <w:szCs w:val="32"/>
        </w:rPr>
        <w:t>双方发生争议的，应</w:t>
      </w:r>
      <w:r>
        <w:rPr>
          <w:rFonts w:hint="eastAsia" w:ascii="仿宋_GB2312" w:hAnsi="仿宋_GB2312" w:eastAsia="仿宋_GB2312" w:cs="仿宋_GB2312"/>
          <w:sz w:val="32"/>
          <w:szCs w:val="32"/>
        </w:rPr>
        <w:t>当协商解决;协商不成的，甲乙双方有权向甲方所在地有管辖权的人民法院提起行政诉讼。</w:t>
      </w:r>
    </w:p>
    <w:p w14:paraId="72711DA5">
      <w:pPr>
        <w:keepNext w:val="0"/>
        <w:keepLines w:val="0"/>
        <w:pageBreakBefore w:val="0"/>
        <w:wordWrap/>
        <w:overflowPunct/>
        <w:bidi w:val="0"/>
        <w:spacing w:line="60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本合同一式六份，甲乙双方各持三份，自双方盖章之日起生效。</w:t>
      </w:r>
    </w:p>
    <w:p w14:paraId="51BB1A5A">
      <w:pPr>
        <w:keepNext w:val="0"/>
        <w:keepLines w:val="0"/>
        <w:pageBreakBefore w:val="0"/>
        <w:wordWrap/>
        <w:overflowPunct/>
        <w:bidi w:val="0"/>
        <w:spacing w:line="580" w:lineRule="exact"/>
        <w:rPr>
          <w:rFonts w:hint="eastAsia" w:ascii="仿宋_GB2312" w:hAnsi="仿宋_GB2312" w:eastAsia="仿宋_GB2312" w:cs="仿宋_GB2312"/>
          <w:sz w:val="32"/>
          <w:szCs w:val="32"/>
        </w:rPr>
      </w:pPr>
    </w:p>
    <w:p w14:paraId="6D1DD69A">
      <w:pPr>
        <w:keepNext w:val="0"/>
        <w:keepLines w:val="0"/>
        <w:pageBreakBefore w:val="0"/>
        <w:wordWrap/>
        <w:overflowPunct/>
        <w:bidi w:val="0"/>
        <w:spacing w:line="58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u w:val="single"/>
          <w:lang w:val="en-US" w:eastAsia="zh-CN"/>
        </w:rPr>
        <w:t xml:space="preserve">                  </w:t>
      </w:r>
    </w:p>
    <w:p w14:paraId="4269F253">
      <w:pPr>
        <w:keepNext w:val="0"/>
        <w:keepLines w:val="0"/>
        <w:pageBreakBefore w:val="0"/>
        <w:wordWrap/>
        <w:overflowPunct/>
        <w:bidi w:val="0"/>
        <w:spacing w:line="580" w:lineRule="exact"/>
        <w:rPr>
          <w:rFonts w:hint="default" w:ascii="仿宋_GB2312" w:hAnsi="仿宋_GB2312" w:eastAsia="仿宋_GB2312" w:cs="仿宋_GB2312"/>
          <w:sz w:val="32"/>
          <w:szCs w:val="32"/>
          <w:u w:val="single"/>
          <w:lang w:val="en-US" w:eastAsia="zh-CN"/>
        </w:rPr>
      </w:pPr>
    </w:p>
    <w:p w14:paraId="011C0186">
      <w:pPr>
        <w:keepNext w:val="0"/>
        <w:keepLines w:val="0"/>
        <w:pageBreakBefore w:val="0"/>
        <w:wordWrap/>
        <w:overflowPunct/>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FC130FF">
      <w:pPr>
        <w:keepNext w:val="0"/>
        <w:keepLines w:val="0"/>
        <w:pageBreakBefore w:val="0"/>
        <w:wordWrap/>
        <w:overflowPunct/>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经办人:</w:t>
      </w:r>
    </w:p>
    <w:p w14:paraId="05188850">
      <w:pPr>
        <w:pStyle w:val="2"/>
        <w:rPr>
          <w:rFonts w:hint="eastAsia"/>
          <w:lang w:val="en-US" w:eastAsia="zh-CN"/>
        </w:rPr>
      </w:pPr>
    </w:p>
    <w:p w14:paraId="760513C7">
      <w:pPr>
        <w:keepNext w:val="0"/>
        <w:keepLines w:val="0"/>
        <w:pageBreakBefore w:val="0"/>
        <w:wordWrap/>
        <w:overflowPunct/>
        <w:bidi w:val="0"/>
        <w:spacing w:line="580" w:lineRule="exact"/>
        <w:rPr>
          <w:rFonts w:hint="eastAsia" w:ascii="仿宋_GB2312" w:hAnsi="仿宋_GB2312" w:eastAsia="仿宋_GB2312" w:cs="仿宋_GB2312"/>
          <w:sz w:val="32"/>
          <w:szCs w:val="32"/>
        </w:rPr>
      </w:pPr>
    </w:p>
    <w:p w14:paraId="06DA88F5">
      <w:pPr>
        <w:keepNext w:val="0"/>
        <w:keepLines w:val="0"/>
        <w:pageBreakBefore w:val="0"/>
        <w:wordWrap/>
        <w:overflowPunct/>
        <w:bidi w:val="0"/>
        <w:spacing w:line="580" w:lineRule="exact"/>
        <w:rPr>
          <w:rFonts w:hint="eastAsia" w:ascii="仿宋_GB2312" w:hAnsi="仿宋_GB2312" w:eastAsia="仿宋_GB2312" w:cs="仿宋_GB2312"/>
          <w:sz w:val="32"/>
          <w:szCs w:val="32"/>
        </w:rPr>
      </w:pPr>
    </w:p>
    <w:p w14:paraId="1C9620E7">
      <w:pPr>
        <w:keepNext w:val="0"/>
        <w:keepLines w:val="0"/>
        <w:pageBreakBefore w:val="0"/>
        <w:wordWrap/>
        <w:overflowPunct/>
        <w:bidi w:val="0"/>
        <w:spacing w:line="58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乙方(盖章):</w:t>
      </w:r>
      <w:r>
        <w:rPr>
          <w:rFonts w:hint="eastAsia" w:ascii="仿宋_GB2312" w:hAnsi="仿宋_GB2312" w:eastAsia="仿宋_GB2312" w:cs="仿宋_GB2312"/>
          <w:sz w:val="32"/>
          <w:szCs w:val="32"/>
          <w:u w:val="single"/>
          <w:lang w:val="en-US" w:eastAsia="zh-CN"/>
        </w:rPr>
        <w:t xml:space="preserve">                  </w:t>
      </w:r>
    </w:p>
    <w:p w14:paraId="1EEFBD28">
      <w:pPr>
        <w:keepNext w:val="0"/>
        <w:keepLines w:val="0"/>
        <w:pageBreakBefore w:val="0"/>
        <w:wordWrap/>
        <w:overflowPunct/>
        <w:bidi w:val="0"/>
        <w:spacing w:line="580" w:lineRule="exact"/>
        <w:rPr>
          <w:rFonts w:hint="eastAsia" w:ascii="仿宋_GB2312" w:hAnsi="仿宋_GB2312" w:eastAsia="仿宋_GB2312" w:cs="仿宋_GB2312"/>
          <w:sz w:val="32"/>
          <w:szCs w:val="32"/>
        </w:rPr>
      </w:pPr>
    </w:p>
    <w:p w14:paraId="3EB471EB">
      <w:pPr>
        <w:keepNext w:val="0"/>
        <w:keepLines w:val="0"/>
        <w:pageBreakBefore w:val="0"/>
        <w:wordWrap/>
        <w:overflowPunct/>
        <w:bidi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048E076B">
      <w:pPr>
        <w:keepNext w:val="0"/>
        <w:keepLines w:val="0"/>
        <w:pageBreakBefore w:val="0"/>
        <w:wordWrap/>
        <w:overflowPunct/>
        <w:bidi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联系人/经办人:</w:t>
      </w:r>
    </w:p>
    <w:p w14:paraId="29B88697">
      <w:pPr>
        <w:keepNext w:val="0"/>
        <w:keepLines w:val="0"/>
        <w:pageBreakBefore w:val="0"/>
        <w:wordWrap/>
        <w:overflowPunct/>
        <w:bidi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7F0C3C77">
      <w:pPr>
        <w:keepNext w:val="0"/>
        <w:keepLines w:val="0"/>
        <w:pageBreakBefore w:val="0"/>
        <w:widowControl w:val="0"/>
        <w:kinsoku/>
        <w:wordWrap w:val="0"/>
        <w:overflowPunct/>
        <w:topLinePunct/>
        <w:autoSpaceDE/>
        <w:autoSpaceDN/>
        <w:bidi w:val="0"/>
        <w:adjustRightInd w:val="0"/>
        <w:snapToGrid w:val="0"/>
        <w:spacing w:line="680" w:lineRule="exact"/>
        <w:ind w:left="0" w:leftChars="0" w:firstLine="800" w:firstLineChars="250"/>
        <w:jc w:val="left"/>
        <w:textAlignment w:val="auto"/>
        <w:rPr>
          <w:rFonts w:hint="eastAsia" w:ascii="仿宋" w:hAnsi="仿宋" w:eastAsia="仿宋_GB2312" w:cs="宋体"/>
          <w:strike w:val="0"/>
          <w:color w:val="auto"/>
          <w:spacing w:val="0"/>
          <w:kern w:val="32"/>
          <w:sz w:val="32"/>
          <w:szCs w:val="32"/>
          <w:u w:val="none"/>
          <w:lang w:eastAsia="zh-CN"/>
        </w:rPr>
      </w:pPr>
    </w:p>
    <w:p w14:paraId="78F0DD63">
      <w:pPr>
        <w:keepNext w:val="0"/>
        <w:keepLines w:val="0"/>
        <w:pageBreakBefore w:val="0"/>
        <w:widowControl w:val="0"/>
        <w:kinsoku/>
        <w:wordWrap w:val="0"/>
        <w:overflowPunct/>
        <w:topLinePunct/>
        <w:autoSpaceDE/>
        <w:autoSpaceDN/>
        <w:bidi w:val="0"/>
        <w:adjustRightInd w:val="0"/>
        <w:snapToGrid w:val="0"/>
        <w:spacing w:line="680" w:lineRule="exact"/>
        <w:ind w:left="0" w:leftChars="0" w:firstLine="800" w:firstLineChars="250"/>
        <w:jc w:val="left"/>
        <w:textAlignment w:val="auto"/>
        <w:rPr>
          <w:rFonts w:hint="eastAsia" w:ascii="仿宋" w:hAnsi="仿宋" w:eastAsia="仿宋_GB2312" w:cs="宋体"/>
          <w:strike w:val="0"/>
          <w:color w:val="auto"/>
          <w:spacing w:val="0"/>
          <w:kern w:val="32"/>
          <w:sz w:val="32"/>
          <w:szCs w:val="32"/>
          <w:u w:val="none"/>
          <w:lang w:eastAsia="zh-CN"/>
        </w:rPr>
      </w:pPr>
    </w:p>
    <w:p w14:paraId="7485F8F3">
      <w:pPr>
        <w:widowControl w:val="0"/>
        <w:kinsoku/>
        <w:topLinePunct/>
        <w:autoSpaceDE/>
        <w:autoSpaceDN/>
        <w:adjustRightInd/>
        <w:snapToGrid/>
        <w:spacing w:line="570" w:lineRule="exact"/>
        <w:ind w:firstLine="643"/>
        <w:rPr>
          <w:rFonts w:ascii="Times New Roman" w:hAnsi="Times New Roman" w:eastAsia="仿宋_GB2312" w:cs="Times New Roman"/>
          <w:color w:val="auto"/>
          <w:sz w:val="32"/>
          <w:szCs w:val="32"/>
        </w:rPr>
      </w:pPr>
    </w:p>
    <w:sectPr>
      <w:footerReference r:id="rId4" w:type="default"/>
      <w:pgSz w:w="11906" w:h="16838"/>
      <w:pgMar w:top="1588" w:right="1474" w:bottom="153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2DBE2">
    <w:pPr>
      <w:spacing w:line="177" w:lineRule="auto"/>
      <w:ind w:left="102"/>
      <w:rPr>
        <w:rFonts w:ascii="宋体" w:hAnsi="宋体" w:eastAsia="宋体" w:cs="宋体"/>
        <w:sz w:val="28"/>
        <w:szCs w:val="28"/>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521B60">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0B521B6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4896">
    <w:pPr>
      <w:widowControl w:val="0"/>
      <w:tabs>
        <w:tab w:val="center" w:pos="4153"/>
        <w:tab w:val="right" w:pos="8306"/>
      </w:tabs>
      <w:ind w:firstLine="361"/>
      <w:rPr>
        <w:rFonts w:ascii="Times New Roman" w:hAnsi="Times New Roman" w:eastAsia="宋体" w:cs="Times New Roman"/>
        <w:kern w:val="2"/>
        <w:sz w:val="18"/>
        <w:lang w:eastAsia="zh-CN"/>
      </w:rPr>
    </w:pPr>
    <w:r>
      <w:rPr>
        <w:rFonts w:ascii="Times New Roman" w:hAnsi="Times New Roman" w:eastAsia="宋体" w:cs="Times New Roman"/>
        <w:kern w:val="2"/>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D182057">
                          <w:pPr>
                            <w:widowControl w:val="0"/>
                            <w:tabs>
                              <w:tab w:val="center" w:pos="4153"/>
                              <w:tab w:val="right" w:pos="8306"/>
                            </w:tabs>
                            <w:rPr>
                              <w:rFonts w:ascii="Times New Roman" w:hAnsi="Times New Roman" w:eastAsia="宋体" w:cs="Times New Roman"/>
                              <w:kern w:val="2"/>
                              <w:sz w:val="18"/>
                              <w:lang w:eastAsia="zh-CN"/>
                            </w:rPr>
                          </w:pPr>
                          <w:r>
                            <w:rPr>
                              <w:rFonts w:ascii="Times New Roman" w:hAnsi="Times New Roman" w:eastAsia="宋体" w:cs="Times New Roman"/>
                              <w:kern w:val="2"/>
                              <w:sz w:val="18"/>
                              <w:lang w:eastAsia="zh-CN"/>
                            </w:rPr>
                            <w:fldChar w:fldCharType="begin"/>
                          </w:r>
                          <w:r>
                            <w:rPr>
                              <w:rFonts w:ascii="Times New Roman" w:hAnsi="Times New Roman" w:eastAsia="宋体" w:cs="Times New Roman"/>
                              <w:kern w:val="2"/>
                              <w:sz w:val="18"/>
                              <w:lang w:eastAsia="zh-CN"/>
                            </w:rPr>
                            <w:instrText xml:space="preserve"> PAGE  \* MERGEFORMAT </w:instrText>
                          </w:r>
                          <w:r>
                            <w:rPr>
                              <w:rFonts w:ascii="Times New Roman" w:hAnsi="Times New Roman" w:eastAsia="宋体" w:cs="Times New Roman"/>
                              <w:kern w:val="2"/>
                              <w:sz w:val="18"/>
                              <w:lang w:eastAsia="zh-CN"/>
                            </w:rPr>
                            <w:fldChar w:fldCharType="separate"/>
                          </w:r>
                          <w:r>
                            <w:rPr>
                              <w:rFonts w:ascii="Times New Roman" w:hAnsi="Times New Roman" w:eastAsia="宋体" w:cs="Times New Roman"/>
                              <w:kern w:val="2"/>
                              <w:sz w:val="18"/>
                              <w:lang w:eastAsia="zh-CN"/>
                            </w:rPr>
                            <w:t>2</w:t>
                          </w:r>
                          <w:r>
                            <w:rPr>
                              <w:rFonts w:ascii="Times New Roman" w:hAnsi="Times New Roman" w:eastAsia="宋体" w:cs="Times New Roman"/>
                              <w:kern w:val="2"/>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5D182057">
                    <w:pPr>
                      <w:widowControl w:val="0"/>
                      <w:tabs>
                        <w:tab w:val="center" w:pos="4153"/>
                        <w:tab w:val="right" w:pos="8306"/>
                      </w:tabs>
                      <w:rPr>
                        <w:rFonts w:ascii="Times New Roman" w:hAnsi="Times New Roman" w:eastAsia="宋体" w:cs="Times New Roman"/>
                        <w:kern w:val="2"/>
                        <w:sz w:val="18"/>
                        <w:lang w:eastAsia="zh-CN"/>
                      </w:rPr>
                    </w:pPr>
                    <w:r>
                      <w:rPr>
                        <w:rFonts w:ascii="Times New Roman" w:hAnsi="Times New Roman" w:eastAsia="宋体" w:cs="Times New Roman"/>
                        <w:kern w:val="2"/>
                        <w:sz w:val="18"/>
                        <w:lang w:eastAsia="zh-CN"/>
                      </w:rPr>
                      <w:fldChar w:fldCharType="begin"/>
                    </w:r>
                    <w:r>
                      <w:rPr>
                        <w:rFonts w:ascii="Times New Roman" w:hAnsi="Times New Roman" w:eastAsia="宋体" w:cs="Times New Roman"/>
                        <w:kern w:val="2"/>
                        <w:sz w:val="18"/>
                        <w:lang w:eastAsia="zh-CN"/>
                      </w:rPr>
                      <w:instrText xml:space="preserve"> PAGE  \* MERGEFORMAT </w:instrText>
                    </w:r>
                    <w:r>
                      <w:rPr>
                        <w:rFonts w:ascii="Times New Roman" w:hAnsi="Times New Roman" w:eastAsia="宋体" w:cs="Times New Roman"/>
                        <w:kern w:val="2"/>
                        <w:sz w:val="18"/>
                        <w:lang w:eastAsia="zh-CN"/>
                      </w:rPr>
                      <w:fldChar w:fldCharType="separate"/>
                    </w:r>
                    <w:r>
                      <w:rPr>
                        <w:rFonts w:ascii="Times New Roman" w:hAnsi="Times New Roman" w:eastAsia="宋体" w:cs="Times New Roman"/>
                        <w:kern w:val="2"/>
                        <w:sz w:val="18"/>
                        <w:lang w:eastAsia="zh-CN"/>
                      </w:rPr>
                      <w:t>2</w:t>
                    </w:r>
                    <w:r>
                      <w:rPr>
                        <w:rFonts w:ascii="Times New Roman" w:hAnsi="Times New Roman" w:eastAsia="宋体" w:cs="Times New Roman"/>
                        <w:kern w:val="2"/>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12EA7"/>
    <w:multiLevelType w:val="singleLevel"/>
    <w:tmpl w:val="BC012EA7"/>
    <w:lvl w:ilvl="0" w:tentative="0">
      <w:start w:val="1"/>
      <w:numFmt w:val="decimal"/>
      <w:suff w:val="space"/>
      <w:lvlText w:val="%1."/>
      <w:lvlJc w:val="left"/>
      <w:rPr>
        <w:rFonts w:hint="default"/>
        <w:b w:val="0"/>
        <w:bCs w:val="0"/>
      </w:rPr>
    </w:lvl>
  </w:abstractNum>
  <w:abstractNum w:abstractNumId="1">
    <w:nsid w:val="D35DA4B1"/>
    <w:multiLevelType w:val="singleLevel"/>
    <w:tmpl w:val="D35DA4B1"/>
    <w:lvl w:ilvl="0" w:tentative="0">
      <w:start w:val="1"/>
      <w:numFmt w:val="chineseCounting"/>
      <w:suff w:val="space"/>
      <w:lvlText w:val="第%1章"/>
      <w:lvlJc w:val="left"/>
      <w:rPr>
        <w:rFonts w:hint="eastAsia"/>
      </w:rPr>
    </w:lvl>
  </w:abstractNum>
  <w:abstractNum w:abstractNumId="2">
    <w:nsid w:val="D708AC78"/>
    <w:multiLevelType w:val="singleLevel"/>
    <w:tmpl w:val="D708AC78"/>
    <w:lvl w:ilvl="0" w:tentative="0">
      <w:start w:val="1"/>
      <w:numFmt w:val="chineseCounting"/>
      <w:suff w:val="nothing"/>
      <w:lvlText w:val="（%1）"/>
      <w:lvlJc w:val="left"/>
      <w:pPr>
        <w:ind w:left="0" w:firstLine="420"/>
      </w:pPr>
      <w:rPr>
        <w:rFonts w:hint="eastAsia"/>
      </w:rPr>
    </w:lvl>
  </w:abstractNum>
  <w:abstractNum w:abstractNumId="3">
    <w:nsid w:val="F18C8C73"/>
    <w:multiLevelType w:val="singleLevel"/>
    <w:tmpl w:val="F18C8C73"/>
    <w:lvl w:ilvl="0" w:tentative="0">
      <w:start w:val="1"/>
      <w:numFmt w:val="chineseCounting"/>
      <w:suff w:val="nothing"/>
      <w:lvlText w:val="%1、"/>
      <w:lvlJc w:val="left"/>
      <w:pPr>
        <w:ind w:left="0" w:firstLine="420"/>
      </w:pPr>
      <w:rPr>
        <w:rFonts w:hint="eastAsia"/>
        <w:lang w:val="en-US"/>
      </w:rPr>
    </w:lvl>
  </w:abstractNum>
  <w:abstractNum w:abstractNumId="4">
    <w:nsid w:val="F72766C7"/>
    <w:multiLevelType w:val="singleLevel"/>
    <w:tmpl w:val="F72766C7"/>
    <w:lvl w:ilvl="0" w:tentative="0">
      <w:start w:val="1"/>
      <w:numFmt w:val="chineseCounting"/>
      <w:suff w:val="nothing"/>
      <w:lvlText w:val="（%1）"/>
      <w:lvlJc w:val="left"/>
      <w:pPr>
        <w:ind w:left="0" w:firstLine="420"/>
      </w:pPr>
      <w:rPr>
        <w:rFonts w:hint="eastAsia"/>
      </w:rPr>
    </w:lvl>
  </w:abstractNum>
  <w:abstractNum w:abstractNumId="5">
    <w:nsid w:val="F9CC2B51"/>
    <w:multiLevelType w:val="singleLevel"/>
    <w:tmpl w:val="F9CC2B51"/>
    <w:lvl w:ilvl="0" w:tentative="0">
      <w:start w:val="1"/>
      <w:numFmt w:val="chineseCounting"/>
      <w:suff w:val="nothing"/>
      <w:lvlText w:val="%1、"/>
      <w:lvlJc w:val="left"/>
      <w:pPr>
        <w:ind w:left="0" w:firstLine="420"/>
      </w:pPr>
      <w:rPr>
        <w:rFonts w:hint="eastAsia"/>
        <w:lang w:val="en-US"/>
      </w:rPr>
    </w:lvl>
  </w:abstractNum>
  <w:abstractNum w:abstractNumId="6">
    <w:nsid w:val="0A2864A6"/>
    <w:multiLevelType w:val="multilevel"/>
    <w:tmpl w:val="0A2864A6"/>
    <w:lvl w:ilvl="0" w:tentative="0">
      <w:start w:val="2"/>
      <w:numFmt w:val="decimal"/>
      <w:lvlText w:val="%1."/>
      <w:lvlJc w:val="left"/>
      <w:pPr>
        <w:ind w:left="1000" w:hanging="36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9AA8454"/>
    <w:multiLevelType w:val="singleLevel"/>
    <w:tmpl w:val="29AA8454"/>
    <w:lvl w:ilvl="0" w:tentative="0">
      <w:start w:val="1"/>
      <w:numFmt w:val="chineseCounting"/>
      <w:suff w:val="nothing"/>
      <w:lvlText w:val="（%1）"/>
      <w:lvlJc w:val="left"/>
      <w:pPr>
        <w:ind w:left="0" w:firstLine="420"/>
      </w:pPr>
      <w:rPr>
        <w:rFonts w:hint="eastAsia"/>
      </w:rPr>
    </w:lvl>
  </w:abstractNum>
  <w:abstractNum w:abstractNumId="8">
    <w:nsid w:val="3AF16E5E"/>
    <w:multiLevelType w:val="multilevel"/>
    <w:tmpl w:val="3AF16E5E"/>
    <w:lvl w:ilvl="0" w:tentative="0">
      <w:start w:val="7"/>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403E0BFE"/>
    <w:multiLevelType w:val="singleLevel"/>
    <w:tmpl w:val="403E0BFE"/>
    <w:lvl w:ilvl="0" w:tentative="0">
      <w:start w:val="1"/>
      <w:numFmt w:val="chineseCounting"/>
      <w:suff w:val="nothing"/>
      <w:lvlText w:val="（%1）"/>
      <w:lvlJc w:val="left"/>
      <w:pPr>
        <w:ind w:left="0" w:firstLine="420"/>
      </w:pPr>
      <w:rPr>
        <w:rFonts w:hint="eastAsia"/>
      </w:rPr>
    </w:lvl>
  </w:abstractNum>
  <w:abstractNum w:abstractNumId="10">
    <w:nsid w:val="6BDE343B"/>
    <w:multiLevelType w:val="singleLevel"/>
    <w:tmpl w:val="6BDE343B"/>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7"/>
  </w:num>
  <w:num w:numId="4">
    <w:abstractNumId w:val="9"/>
  </w:num>
  <w:num w:numId="5">
    <w:abstractNumId w:val="6"/>
  </w:num>
  <w:num w:numId="6">
    <w:abstractNumId w:val="8"/>
  </w:num>
  <w:num w:numId="7">
    <w:abstractNumId w:val="0"/>
  </w:num>
  <w:num w:numId="8">
    <w:abstractNumId w:val="4"/>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MDQzNDEyN2U2NDUxZjJlZWQxYmU2NjFkMTIwOWIifQ=="/>
  </w:docVars>
  <w:rsids>
    <w:rsidRoot w:val="00172A27"/>
    <w:rsid w:val="0016123C"/>
    <w:rsid w:val="00172A27"/>
    <w:rsid w:val="0018357C"/>
    <w:rsid w:val="001E4D87"/>
    <w:rsid w:val="002F45EA"/>
    <w:rsid w:val="00464F05"/>
    <w:rsid w:val="0059390C"/>
    <w:rsid w:val="005E3760"/>
    <w:rsid w:val="00705667"/>
    <w:rsid w:val="00724552"/>
    <w:rsid w:val="00817D92"/>
    <w:rsid w:val="008C5F27"/>
    <w:rsid w:val="009D598F"/>
    <w:rsid w:val="00BF025C"/>
    <w:rsid w:val="00C239F2"/>
    <w:rsid w:val="00C82E06"/>
    <w:rsid w:val="00D67DCF"/>
    <w:rsid w:val="00F9257D"/>
    <w:rsid w:val="00FB4C3B"/>
    <w:rsid w:val="0158070E"/>
    <w:rsid w:val="016B539A"/>
    <w:rsid w:val="01747E56"/>
    <w:rsid w:val="0181703A"/>
    <w:rsid w:val="019778E7"/>
    <w:rsid w:val="01B07C30"/>
    <w:rsid w:val="01E73268"/>
    <w:rsid w:val="01F53D45"/>
    <w:rsid w:val="021653B1"/>
    <w:rsid w:val="02322751"/>
    <w:rsid w:val="02850A1A"/>
    <w:rsid w:val="03433F84"/>
    <w:rsid w:val="03720027"/>
    <w:rsid w:val="0382439E"/>
    <w:rsid w:val="03AB3832"/>
    <w:rsid w:val="03C034BD"/>
    <w:rsid w:val="048B197D"/>
    <w:rsid w:val="04A70542"/>
    <w:rsid w:val="04A907D2"/>
    <w:rsid w:val="05033049"/>
    <w:rsid w:val="052B1459"/>
    <w:rsid w:val="053B7608"/>
    <w:rsid w:val="05C56E81"/>
    <w:rsid w:val="05E355AA"/>
    <w:rsid w:val="06C311A8"/>
    <w:rsid w:val="06DA075B"/>
    <w:rsid w:val="06F2690E"/>
    <w:rsid w:val="073200BF"/>
    <w:rsid w:val="07C84A57"/>
    <w:rsid w:val="08275C22"/>
    <w:rsid w:val="08B60D54"/>
    <w:rsid w:val="08BF40AC"/>
    <w:rsid w:val="08F75BBB"/>
    <w:rsid w:val="092A47C2"/>
    <w:rsid w:val="094A2D56"/>
    <w:rsid w:val="09963B8A"/>
    <w:rsid w:val="09ED69F7"/>
    <w:rsid w:val="0A5B1BB3"/>
    <w:rsid w:val="0A847FC6"/>
    <w:rsid w:val="0AA55524"/>
    <w:rsid w:val="0AB51AC3"/>
    <w:rsid w:val="0AF023FF"/>
    <w:rsid w:val="0B612CD0"/>
    <w:rsid w:val="0B6F6D66"/>
    <w:rsid w:val="0BD1074A"/>
    <w:rsid w:val="0BEF756F"/>
    <w:rsid w:val="0C236700"/>
    <w:rsid w:val="0C435A12"/>
    <w:rsid w:val="0CB87AE8"/>
    <w:rsid w:val="0D15073F"/>
    <w:rsid w:val="0D2235E6"/>
    <w:rsid w:val="0D553F8D"/>
    <w:rsid w:val="0DB23410"/>
    <w:rsid w:val="0DD75CD7"/>
    <w:rsid w:val="0DDD1C44"/>
    <w:rsid w:val="0DF2046D"/>
    <w:rsid w:val="0F377B45"/>
    <w:rsid w:val="0F3E271E"/>
    <w:rsid w:val="0F423341"/>
    <w:rsid w:val="0F8C5567"/>
    <w:rsid w:val="0FAB0EE6"/>
    <w:rsid w:val="0FCD4FE1"/>
    <w:rsid w:val="0FD00385"/>
    <w:rsid w:val="0FD27C3A"/>
    <w:rsid w:val="103C5FE2"/>
    <w:rsid w:val="10815624"/>
    <w:rsid w:val="11896577"/>
    <w:rsid w:val="11A14941"/>
    <w:rsid w:val="11B42090"/>
    <w:rsid w:val="12150170"/>
    <w:rsid w:val="1237676C"/>
    <w:rsid w:val="123F1DBA"/>
    <w:rsid w:val="12B01D8C"/>
    <w:rsid w:val="12C9318D"/>
    <w:rsid w:val="12EB0686"/>
    <w:rsid w:val="137141F5"/>
    <w:rsid w:val="138D36B4"/>
    <w:rsid w:val="13DD215D"/>
    <w:rsid w:val="14265451"/>
    <w:rsid w:val="14856D31"/>
    <w:rsid w:val="14BC3B96"/>
    <w:rsid w:val="14CA62B3"/>
    <w:rsid w:val="15150C0F"/>
    <w:rsid w:val="15CC1BB7"/>
    <w:rsid w:val="15E2075C"/>
    <w:rsid w:val="16402936"/>
    <w:rsid w:val="1807337A"/>
    <w:rsid w:val="18740F2C"/>
    <w:rsid w:val="18830418"/>
    <w:rsid w:val="18D851B5"/>
    <w:rsid w:val="18F45C2F"/>
    <w:rsid w:val="190C1C63"/>
    <w:rsid w:val="192761F1"/>
    <w:rsid w:val="19B85AB8"/>
    <w:rsid w:val="19DC4392"/>
    <w:rsid w:val="19DE59A3"/>
    <w:rsid w:val="1A5F124B"/>
    <w:rsid w:val="1A997D27"/>
    <w:rsid w:val="1B617347"/>
    <w:rsid w:val="1BDD6A7C"/>
    <w:rsid w:val="1C254C0B"/>
    <w:rsid w:val="1C756F33"/>
    <w:rsid w:val="1C7D1E5D"/>
    <w:rsid w:val="1CA91209"/>
    <w:rsid w:val="1CDA2E0B"/>
    <w:rsid w:val="1CF53CBA"/>
    <w:rsid w:val="1DF77DC1"/>
    <w:rsid w:val="1E403142"/>
    <w:rsid w:val="1F2B2044"/>
    <w:rsid w:val="1F2C718D"/>
    <w:rsid w:val="1F7D52A9"/>
    <w:rsid w:val="1F865935"/>
    <w:rsid w:val="1FA84FCD"/>
    <w:rsid w:val="1FF24CA4"/>
    <w:rsid w:val="1FF83A03"/>
    <w:rsid w:val="20E220F5"/>
    <w:rsid w:val="20FF1828"/>
    <w:rsid w:val="214271D1"/>
    <w:rsid w:val="214E5B76"/>
    <w:rsid w:val="2152685A"/>
    <w:rsid w:val="216E53E7"/>
    <w:rsid w:val="227024A2"/>
    <w:rsid w:val="22AD4B1E"/>
    <w:rsid w:val="22E5508B"/>
    <w:rsid w:val="233174FD"/>
    <w:rsid w:val="239E1398"/>
    <w:rsid w:val="23E322B0"/>
    <w:rsid w:val="23EB4055"/>
    <w:rsid w:val="244E2E20"/>
    <w:rsid w:val="246D27B7"/>
    <w:rsid w:val="24A2770B"/>
    <w:rsid w:val="251C63F4"/>
    <w:rsid w:val="25F82322"/>
    <w:rsid w:val="26AC51C6"/>
    <w:rsid w:val="26C37006"/>
    <w:rsid w:val="26EF7078"/>
    <w:rsid w:val="270F0D8E"/>
    <w:rsid w:val="276B793B"/>
    <w:rsid w:val="27C005C8"/>
    <w:rsid w:val="27C941A8"/>
    <w:rsid w:val="286977A1"/>
    <w:rsid w:val="296A19BB"/>
    <w:rsid w:val="29B953A1"/>
    <w:rsid w:val="2A2161B0"/>
    <w:rsid w:val="2A7D0E90"/>
    <w:rsid w:val="2ACB0D3F"/>
    <w:rsid w:val="2B155DFD"/>
    <w:rsid w:val="2B165956"/>
    <w:rsid w:val="2BB94DC5"/>
    <w:rsid w:val="2C1A76C8"/>
    <w:rsid w:val="2C4958B7"/>
    <w:rsid w:val="2C5320C2"/>
    <w:rsid w:val="2C5F50DB"/>
    <w:rsid w:val="2C727379"/>
    <w:rsid w:val="2C87285A"/>
    <w:rsid w:val="2CB82C1A"/>
    <w:rsid w:val="2CF77A09"/>
    <w:rsid w:val="2D002460"/>
    <w:rsid w:val="2D1E2FA3"/>
    <w:rsid w:val="2D4542D1"/>
    <w:rsid w:val="2D503FFF"/>
    <w:rsid w:val="2DFB5A0F"/>
    <w:rsid w:val="2E187C37"/>
    <w:rsid w:val="2E2A5605"/>
    <w:rsid w:val="2E5F7614"/>
    <w:rsid w:val="2E863561"/>
    <w:rsid w:val="2E921248"/>
    <w:rsid w:val="2EA16EC8"/>
    <w:rsid w:val="2ED00512"/>
    <w:rsid w:val="308E24C5"/>
    <w:rsid w:val="31556506"/>
    <w:rsid w:val="316123D1"/>
    <w:rsid w:val="32292413"/>
    <w:rsid w:val="32932D86"/>
    <w:rsid w:val="32986ABB"/>
    <w:rsid w:val="33285D99"/>
    <w:rsid w:val="33576B0C"/>
    <w:rsid w:val="33616811"/>
    <w:rsid w:val="33791178"/>
    <w:rsid w:val="339733AC"/>
    <w:rsid w:val="33983844"/>
    <w:rsid w:val="33A260A6"/>
    <w:rsid w:val="33BA709B"/>
    <w:rsid w:val="33D53ED4"/>
    <w:rsid w:val="34526B15"/>
    <w:rsid w:val="345968B4"/>
    <w:rsid w:val="345F4FA4"/>
    <w:rsid w:val="34EC1A8F"/>
    <w:rsid w:val="352E7D40"/>
    <w:rsid w:val="353A682D"/>
    <w:rsid w:val="35843C09"/>
    <w:rsid w:val="35A67B39"/>
    <w:rsid w:val="35D5640E"/>
    <w:rsid w:val="361E1A23"/>
    <w:rsid w:val="364041CF"/>
    <w:rsid w:val="36C50230"/>
    <w:rsid w:val="375C01D4"/>
    <w:rsid w:val="37A272FF"/>
    <w:rsid w:val="37DD15AA"/>
    <w:rsid w:val="37F30DCD"/>
    <w:rsid w:val="38BD249F"/>
    <w:rsid w:val="393D3ECF"/>
    <w:rsid w:val="39513FFD"/>
    <w:rsid w:val="39A66FCB"/>
    <w:rsid w:val="39E80E4D"/>
    <w:rsid w:val="39E91422"/>
    <w:rsid w:val="3A1A4ED3"/>
    <w:rsid w:val="3A547CC2"/>
    <w:rsid w:val="3AC23405"/>
    <w:rsid w:val="3B53405D"/>
    <w:rsid w:val="3B8C357F"/>
    <w:rsid w:val="3BD35F36"/>
    <w:rsid w:val="3C5D68AC"/>
    <w:rsid w:val="3C87455B"/>
    <w:rsid w:val="3CE028C1"/>
    <w:rsid w:val="3D430101"/>
    <w:rsid w:val="3D5E14F4"/>
    <w:rsid w:val="3DD65C6C"/>
    <w:rsid w:val="3E157928"/>
    <w:rsid w:val="3E2D5050"/>
    <w:rsid w:val="3E44605E"/>
    <w:rsid w:val="3EB50E8A"/>
    <w:rsid w:val="3EC62D97"/>
    <w:rsid w:val="3F175994"/>
    <w:rsid w:val="401A339B"/>
    <w:rsid w:val="40C41559"/>
    <w:rsid w:val="40E13EB9"/>
    <w:rsid w:val="41244376"/>
    <w:rsid w:val="419D00EF"/>
    <w:rsid w:val="423544BC"/>
    <w:rsid w:val="4255690C"/>
    <w:rsid w:val="427C46D8"/>
    <w:rsid w:val="4314050D"/>
    <w:rsid w:val="43707776"/>
    <w:rsid w:val="43912E12"/>
    <w:rsid w:val="43D40FD8"/>
    <w:rsid w:val="43E67164"/>
    <w:rsid w:val="44071B29"/>
    <w:rsid w:val="44327B6E"/>
    <w:rsid w:val="446D195D"/>
    <w:rsid w:val="449A5A6F"/>
    <w:rsid w:val="44B52F47"/>
    <w:rsid w:val="44E26451"/>
    <w:rsid w:val="451D19F5"/>
    <w:rsid w:val="459444E0"/>
    <w:rsid w:val="459A44BE"/>
    <w:rsid w:val="45D02685"/>
    <w:rsid w:val="45D74422"/>
    <w:rsid w:val="460F14C8"/>
    <w:rsid w:val="463C4343"/>
    <w:rsid w:val="466510E8"/>
    <w:rsid w:val="4665558C"/>
    <w:rsid w:val="46A9467B"/>
    <w:rsid w:val="46B736EC"/>
    <w:rsid w:val="46D846A8"/>
    <w:rsid w:val="470F78A3"/>
    <w:rsid w:val="47461F7B"/>
    <w:rsid w:val="47E931B2"/>
    <w:rsid w:val="48351E2A"/>
    <w:rsid w:val="49137521"/>
    <w:rsid w:val="49690EEF"/>
    <w:rsid w:val="49B83560"/>
    <w:rsid w:val="49FF6116"/>
    <w:rsid w:val="49FF726D"/>
    <w:rsid w:val="4A1649E3"/>
    <w:rsid w:val="4A743E13"/>
    <w:rsid w:val="4A800BE6"/>
    <w:rsid w:val="4A8F4538"/>
    <w:rsid w:val="4AAD56A6"/>
    <w:rsid w:val="4AC32E07"/>
    <w:rsid w:val="4B977B4C"/>
    <w:rsid w:val="4BB426F5"/>
    <w:rsid w:val="4BCA04E6"/>
    <w:rsid w:val="4C0B0F4F"/>
    <w:rsid w:val="4C1767E3"/>
    <w:rsid w:val="4CDA2830"/>
    <w:rsid w:val="4CE64C7B"/>
    <w:rsid w:val="4CFF0E00"/>
    <w:rsid w:val="4D02423A"/>
    <w:rsid w:val="4D2F0E3D"/>
    <w:rsid w:val="4D7D09B6"/>
    <w:rsid w:val="4D896004"/>
    <w:rsid w:val="4D9E74FE"/>
    <w:rsid w:val="4DBA440F"/>
    <w:rsid w:val="4DBA7F6B"/>
    <w:rsid w:val="4DE33966"/>
    <w:rsid w:val="4E2A1318"/>
    <w:rsid w:val="4E3221F7"/>
    <w:rsid w:val="4E466B58"/>
    <w:rsid w:val="4E660801"/>
    <w:rsid w:val="4EAE6E18"/>
    <w:rsid w:val="4EF8274D"/>
    <w:rsid w:val="4F1B342E"/>
    <w:rsid w:val="4F951D7B"/>
    <w:rsid w:val="4FB73E2D"/>
    <w:rsid w:val="4FF97642"/>
    <w:rsid w:val="5025275C"/>
    <w:rsid w:val="503E30D6"/>
    <w:rsid w:val="50600FCA"/>
    <w:rsid w:val="50636418"/>
    <w:rsid w:val="50666B44"/>
    <w:rsid w:val="506E436B"/>
    <w:rsid w:val="50D47E21"/>
    <w:rsid w:val="50F05606"/>
    <w:rsid w:val="515D42A4"/>
    <w:rsid w:val="51AD7FA0"/>
    <w:rsid w:val="520C2C94"/>
    <w:rsid w:val="520D1C40"/>
    <w:rsid w:val="52311E21"/>
    <w:rsid w:val="52313059"/>
    <w:rsid w:val="52391019"/>
    <w:rsid w:val="524805F6"/>
    <w:rsid w:val="52536252"/>
    <w:rsid w:val="52763B3E"/>
    <w:rsid w:val="52886389"/>
    <w:rsid w:val="529639E1"/>
    <w:rsid w:val="52C603CA"/>
    <w:rsid w:val="538E4C7B"/>
    <w:rsid w:val="53D33B35"/>
    <w:rsid w:val="53EA4849"/>
    <w:rsid w:val="53F63048"/>
    <w:rsid w:val="547F628F"/>
    <w:rsid w:val="55110DB9"/>
    <w:rsid w:val="553A3451"/>
    <w:rsid w:val="5563410B"/>
    <w:rsid w:val="562D7F7D"/>
    <w:rsid w:val="568F1AF1"/>
    <w:rsid w:val="56D0416C"/>
    <w:rsid w:val="579547CB"/>
    <w:rsid w:val="57A85431"/>
    <w:rsid w:val="57CD7B44"/>
    <w:rsid w:val="5864193A"/>
    <w:rsid w:val="5919023C"/>
    <w:rsid w:val="594B7B98"/>
    <w:rsid w:val="59613102"/>
    <w:rsid w:val="59DC5F18"/>
    <w:rsid w:val="59DD7FC2"/>
    <w:rsid w:val="5A7700FC"/>
    <w:rsid w:val="5ABB66D2"/>
    <w:rsid w:val="5B06483B"/>
    <w:rsid w:val="5B122A83"/>
    <w:rsid w:val="5B13181E"/>
    <w:rsid w:val="5BC30933"/>
    <w:rsid w:val="5BF46E77"/>
    <w:rsid w:val="5C0D7F48"/>
    <w:rsid w:val="5C693288"/>
    <w:rsid w:val="5CCB404C"/>
    <w:rsid w:val="5CE345F1"/>
    <w:rsid w:val="5D3C2C88"/>
    <w:rsid w:val="5D4C069A"/>
    <w:rsid w:val="5D504ED2"/>
    <w:rsid w:val="5DA01B03"/>
    <w:rsid w:val="5DD872E0"/>
    <w:rsid w:val="5DF272AD"/>
    <w:rsid w:val="5DF62BD7"/>
    <w:rsid w:val="5DFA60CE"/>
    <w:rsid w:val="5E4F64AE"/>
    <w:rsid w:val="5E5E032A"/>
    <w:rsid w:val="5EC724E8"/>
    <w:rsid w:val="5F2C5AA0"/>
    <w:rsid w:val="5F401ED1"/>
    <w:rsid w:val="5F432160"/>
    <w:rsid w:val="5F600576"/>
    <w:rsid w:val="5F6D7533"/>
    <w:rsid w:val="5F8E139F"/>
    <w:rsid w:val="5FBD48A4"/>
    <w:rsid w:val="5FC13E69"/>
    <w:rsid w:val="60321477"/>
    <w:rsid w:val="60A7067E"/>
    <w:rsid w:val="60BD0F9F"/>
    <w:rsid w:val="60BF0D28"/>
    <w:rsid w:val="60F8410D"/>
    <w:rsid w:val="60FE795E"/>
    <w:rsid w:val="618F1C97"/>
    <w:rsid w:val="61C9568F"/>
    <w:rsid w:val="61E10967"/>
    <w:rsid w:val="61F65DD1"/>
    <w:rsid w:val="622D046D"/>
    <w:rsid w:val="623624E2"/>
    <w:rsid w:val="62F35B65"/>
    <w:rsid w:val="632C244A"/>
    <w:rsid w:val="634618F9"/>
    <w:rsid w:val="63510D12"/>
    <w:rsid w:val="63BB71A7"/>
    <w:rsid w:val="63C41EEE"/>
    <w:rsid w:val="63E547BF"/>
    <w:rsid w:val="64192C6E"/>
    <w:rsid w:val="642D7291"/>
    <w:rsid w:val="64587FD2"/>
    <w:rsid w:val="64896CEE"/>
    <w:rsid w:val="64D23995"/>
    <w:rsid w:val="659B1317"/>
    <w:rsid w:val="66980612"/>
    <w:rsid w:val="669F7F4C"/>
    <w:rsid w:val="66AA03D9"/>
    <w:rsid w:val="66EE055F"/>
    <w:rsid w:val="67302F28"/>
    <w:rsid w:val="67627252"/>
    <w:rsid w:val="67AE06E9"/>
    <w:rsid w:val="67B7628A"/>
    <w:rsid w:val="67CB627B"/>
    <w:rsid w:val="6861446E"/>
    <w:rsid w:val="69385714"/>
    <w:rsid w:val="69AD360D"/>
    <w:rsid w:val="69BB1929"/>
    <w:rsid w:val="69E72135"/>
    <w:rsid w:val="6ACF10A2"/>
    <w:rsid w:val="6BF04E52"/>
    <w:rsid w:val="6C350960"/>
    <w:rsid w:val="6C4C4542"/>
    <w:rsid w:val="6C770D1A"/>
    <w:rsid w:val="6CA9300F"/>
    <w:rsid w:val="6CE4695B"/>
    <w:rsid w:val="6D206DD7"/>
    <w:rsid w:val="6D65184A"/>
    <w:rsid w:val="6D7842E9"/>
    <w:rsid w:val="6E215B46"/>
    <w:rsid w:val="6E423939"/>
    <w:rsid w:val="6E51148A"/>
    <w:rsid w:val="6EC66318"/>
    <w:rsid w:val="6F77059D"/>
    <w:rsid w:val="6FC82564"/>
    <w:rsid w:val="6FCD68C3"/>
    <w:rsid w:val="700053EC"/>
    <w:rsid w:val="700469AA"/>
    <w:rsid w:val="704716DB"/>
    <w:rsid w:val="70915C0A"/>
    <w:rsid w:val="70AD09C0"/>
    <w:rsid w:val="711E5F02"/>
    <w:rsid w:val="7167651A"/>
    <w:rsid w:val="720E0702"/>
    <w:rsid w:val="72396411"/>
    <w:rsid w:val="72BF43C3"/>
    <w:rsid w:val="72EB459F"/>
    <w:rsid w:val="73BE4A02"/>
    <w:rsid w:val="740D54CD"/>
    <w:rsid w:val="74161AF0"/>
    <w:rsid w:val="749B2535"/>
    <w:rsid w:val="74AB3191"/>
    <w:rsid w:val="759C50BF"/>
    <w:rsid w:val="75DA5404"/>
    <w:rsid w:val="764A782F"/>
    <w:rsid w:val="7677439C"/>
    <w:rsid w:val="769861FE"/>
    <w:rsid w:val="76DE6E19"/>
    <w:rsid w:val="771B0E3C"/>
    <w:rsid w:val="7764528F"/>
    <w:rsid w:val="7784090E"/>
    <w:rsid w:val="77EF313B"/>
    <w:rsid w:val="782F3A61"/>
    <w:rsid w:val="786A3F23"/>
    <w:rsid w:val="79890617"/>
    <w:rsid w:val="79C63670"/>
    <w:rsid w:val="79FE105C"/>
    <w:rsid w:val="7A0C3BDC"/>
    <w:rsid w:val="7A24483B"/>
    <w:rsid w:val="7A2A005C"/>
    <w:rsid w:val="7A533D19"/>
    <w:rsid w:val="7A7835C8"/>
    <w:rsid w:val="7A874609"/>
    <w:rsid w:val="7A982E69"/>
    <w:rsid w:val="7AD15759"/>
    <w:rsid w:val="7ADD37F1"/>
    <w:rsid w:val="7B114D77"/>
    <w:rsid w:val="7B3F5DD8"/>
    <w:rsid w:val="7B4A207F"/>
    <w:rsid w:val="7B7329EE"/>
    <w:rsid w:val="7C1A6B6E"/>
    <w:rsid w:val="7C3073CD"/>
    <w:rsid w:val="7C425C03"/>
    <w:rsid w:val="7C4371FA"/>
    <w:rsid w:val="7C6347E5"/>
    <w:rsid w:val="7C9061B7"/>
    <w:rsid w:val="7CCD0C74"/>
    <w:rsid w:val="7D9A6C38"/>
    <w:rsid w:val="7EB77732"/>
    <w:rsid w:val="7EDA3278"/>
    <w:rsid w:val="7EFC135B"/>
    <w:rsid w:val="7F765144"/>
    <w:rsid w:val="7F837D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9"/>
    <w:pPr>
      <w:keepNext/>
      <w:keepLines/>
      <w:spacing w:before="240" w:after="240"/>
      <w:ind w:firstLine="723"/>
      <w:jc w:val="center"/>
      <w:outlineLvl w:val="0"/>
    </w:pPr>
    <w:rPr>
      <w:rFonts w:eastAsia="黑体"/>
      <w:b/>
      <w:bCs/>
      <w:kern w:val="44"/>
      <w:sz w:val="36"/>
      <w:szCs w:val="36"/>
    </w:rPr>
  </w:style>
  <w:style w:type="paragraph" w:styleId="4">
    <w:name w:val="heading 2"/>
    <w:basedOn w:val="1"/>
    <w:next w:val="5"/>
    <w:qFormat/>
    <w:uiPriority w:val="9"/>
    <w:pPr>
      <w:keepNext/>
      <w:keepLines/>
      <w:spacing w:line="413" w:lineRule="auto"/>
      <w:outlineLvl w:val="1"/>
    </w:pPr>
    <w:rPr>
      <w:rFonts w:eastAsia="黑体" w:cs="Times New Roman"/>
      <w:b/>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rPr>
  </w:style>
  <w:style w:type="paragraph" w:customStyle="1" w:styleId="5">
    <w:name w:val="正文缩进1"/>
    <w:basedOn w:val="1"/>
    <w:qFormat/>
    <w:uiPriority w:val="0"/>
    <w:pPr>
      <w:ind w:firstLine="420"/>
    </w:pPr>
  </w:style>
  <w:style w:type="paragraph" w:styleId="6">
    <w:name w:val="Body Text"/>
    <w:basedOn w:val="1"/>
    <w:qFormat/>
    <w:uiPriority w:val="0"/>
    <w:rPr>
      <w:rFonts w:ascii="仿宋" w:hAnsi="仿宋" w:eastAsia="仿宋" w:cs="仿宋"/>
      <w:sz w:val="31"/>
      <w:szCs w:val="31"/>
    </w:rPr>
  </w:style>
  <w:style w:type="paragraph" w:styleId="7">
    <w:name w:val="Body Text Indent 2"/>
    <w:basedOn w:val="1"/>
    <w:qFormat/>
    <w:uiPriority w:val="0"/>
    <w:pPr>
      <w:spacing w:after="120" w:line="480" w:lineRule="auto"/>
      <w:ind w:left="200" w:leftChars="200"/>
    </w:pPr>
  </w:style>
  <w:style w:type="paragraph" w:styleId="8">
    <w:name w:val="footer"/>
    <w:basedOn w:val="1"/>
    <w:semiHidden/>
    <w:unhideWhenUsed/>
    <w:qFormat/>
    <w:uiPriority w:val="99"/>
    <w:pPr>
      <w:tabs>
        <w:tab w:val="center" w:pos="4153"/>
        <w:tab w:val="right" w:pos="8306"/>
      </w:tabs>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1"/>
    <w:basedOn w:val="1"/>
    <w:next w:val="7"/>
    <w:qFormat/>
    <w:uiPriority w:val="0"/>
    <w:pPr>
      <w:spacing w:beforeLines="150" w:afterLines="100" w:line="360" w:lineRule="auto"/>
      <w:ind w:firstLine="200" w:firstLineChars="200"/>
    </w:pPr>
    <w:rPr>
      <w:rFonts w:ascii="宋体" w:cs="宋体"/>
      <w:sz w:val="24"/>
    </w:rPr>
  </w:style>
  <w:style w:type="paragraph" w:styleId="14">
    <w:name w:val="List Paragraph"/>
    <w:basedOn w:val="1"/>
    <w:unhideWhenUsed/>
    <w:qFormat/>
    <w:uiPriority w:val="99"/>
    <w:pPr>
      <w:ind w:firstLine="420" w:firstLineChars="200"/>
    </w:pPr>
  </w:style>
  <w:style w:type="character" w:customStyle="1" w:styleId="15">
    <w:name w:val="正文文本_"/>
    <w:basedOn w:val="12"/>
    <w:unhideWhenUsed/>
    <w:qFormat/>
    <w:uiPriority w:val="99"/>
    <w:rPr>
      <w:rFonts w:hint="eastAsia" w:ascii="MingLiU" w:hAnsi="MingLiU" w:eastAsia="MingLiU"/>
      <w:sz w:val="22"/>
      <w:lang w:val="zh-CN"/>
    </w:rPr>
  </w:style>
  <w:style w:type="character" w:customStyle="1" w:styleId="16">
    <w:name w:val="标题 #3_"/>
    <w:basedOn w:val="12"/>
    <w:link w:val="17"/>
    <w:unhideWhenUsed/>
    <w:qFormat/>
    <w:uiPriority w:val="99"/>
    <w:rPr>
      <w:rFonts w:hint="eastAsia" w:ascii="MingLiU" w:hAnsi="MingLiU" w:eastAsia="MingLiU"/>
      <w:b/>
      <w:sz w:val="24"/>
      <w:lang w:val="zh-CN"/>
    </w:rPr>
  </w:style>
  <w:style w:type="paragraph" w:customStyle="1" w:styleId="17">
    <w:name w:val="标题 #3"/>
    <w:basedOn w:val="1"/>
    <w:link w:val="16"/>
    <w:unhideWhenUsed/>
    <w:qFormat/>
    <w:uiPriority w:val="99"/>
    <w:pPr>
      <w:shd w:val="clear" w:color="auto" w:fill="FFFFFF"/>
      <w:spacing w:line="560" w:lineRule="exact"/>
      <w:ind w:firstLine="580"/>
      <w:outlineLvl w:val="2"/>
    </w:pPr>
    <w:rPr>
      <w:rFonts w:hint="eastAsia" w:ascii="MingLiU" w:hAnsi="MingLiU" w:eastAsia="MingLiU"/>
      <w:b/>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6804</Words>
  <Characters>7716</Characters>
  <Lines>76</Lines>
  <Paragraphs>21</Paragraphs>
  <TotalTime>13</TotalTime>
  <ScaleCrop>false</ScaleCrop>
  <LinksUpToDate>false</LinksUpToDate>
  <CharactersWithSpaces>8034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2024-04-18T05:57:00Z</dcterms:created>
  <dc:creator>Administrator</dc:creator>
  <cp:lastModifiedBy>陈连球（电磁疗艾炙贴，艾眼贴）</cp:lastModifiedBy>
  <cp:lastPrinted>2025-11-21T02:02:00Z</cp:lastPrinted>
  <dcterms:modified xsi:type="dcterms:W3CDTF">2026-04-03T07:04:22Z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958CB87440AD440F98ED23B28DEDBB0F_13</vt:lpwstr>
  </property>
  <property fmtid="{D5CDD505-2E9C-101B-9397-08002B2CF9AE}" pid="4" name="KSOTemplateDocerSaveRecord">
    <vt:lpwstr>eyJoZGlkIjoiODU0NTM5NzdhMDU0ODczYTRlYWZjMjA4NGMzNjU5OTEiLCJ1c2VySWQiOiI0MDEzNDU2NDcifQ==</vt:lpwstr>
  </property>
</Properties>
</file>