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64E8">
      <w:pPr>
        <w:pStyle w:val="4"/>
        <w:widowControl w:val="0"/>
        <w:kinsoku/>
        <w:topLinePunct/>
        <w:autoSpaceDE/>
        <w:autoSpaceDN/>
        <w:adjustRightInd/>
        <w:snapToGrid/>
        <w:spacing w:line="570" w:lineRule="exact"/>
        <w:jc w:val="left"/>
        <w:outlineLvl w:val="4"/>
        <w:rPr>
          <w:rFonts w:ascii="黑体" w:hAnsi="黑体" w:eastAsia="黑体" w:cs="黑体"/>
          <w:color w:val="auto"/>
          <w:kern w:val="10"/>
          <w:sz w:val="32"/>
          <w:szCs w:val="32"/>
          <w:lang w:eastAsia="zh-CN"/>
        </w:rPr>
      </w:pPr>
      <w:r>
        <w:rPr>
          <w:rFonts w:hint="eastAsia" w:ascii="黑体" w:hAnsi="黑体" w:eastAsia="黑体" w:cs="黑体"/>
          <w:color w:val="auto"/>
          <w:kern w:val="10"/>
          <w:sz w:val="32"/>
          <w:szCs w:val="32"/>
          <w:lang w:eastAsia="zh-CN"/>
        </w:rPr>
        <w:t>附件 1</w:t>
      </w:r>
    </w:p>
    <w:p w14:paraId="0F0DDF06">
      <w:pPr>
        <w:pStyle w:val="4"/>
        <w:kinsoku/>
        <w:topLinePunct/>
        <w:autoSpaceDE/>
        <w:autoSpaceDN/>
        <w:adjustRightInd/>
        <w:snapToGrid/>
        <w:spacing w:line="570" w:lineRule="exact"/>
        <w:ind w:firstLine="640" w:firstLineChars="200"/>
        <w:outlineLvl w:val="4"/>
        <w:rPr>
          <w:rFonts w:ascii="黑体" w:hAnsi="黑体" w:eastAsia="黑体" w:cs="黑体"/>
          <w:color w:val="auto"/>
          <w:kern w:val="10"/>
          <w:sz w:val="32"/>
          <w:szCs w:val="32"/>
          <w:lang w:eastAsia="zh-CN"/>
        </w:rPr>
      </w:pPr>
    </w:p>
    <w:p w14:paraId="51272C1C">
      <w:pPr>
        <w:pStyle w:val="4"/>
        <w:kinsoku/>
        <w:topLinePunct/>
        <w:autoSpaceDE/>
        <w:autoSpaceDN/>
        <w:adjustRightInd/>
        <w:snapToGrid/>
        <w:spacing w:line="570" w:lineRule="exact"/>
        <w:jc w:val="center"/>
        <w:outlineLvl w:val="4"/>
        <w:rPr>
          <w:rFonts w:ascii="方正小标宋简体" w:hAnsi="方正小标宋简体" w:eastAsia="方正小标宋简体" w:cs="方正小标宋简体"/>
          <w:color w:val="auto"/>
          <w:kern w:val="10"/>
          <w:sz w:val="44"/>
          <w:szCs w:val="44"/>
          <w:lang w:eastAsia="zh-CN"/>
        </w:rPr>
      </w:pPr>
      <w:r>
        <w:rPr>
          <w:rFonts w:hint="eastAsia" w:ascii="方正小标宋简体" w:hAnsi="方正小标宋简体" w:eastAsia="方正小标宋简体" w:cs="方正小标宋简体"/>
          <w:color w:val="auto"/>
          <w:kern w:val="10"/>
          <w:sz w:val="44"/>
          <w:szCs w:val="44"/>
          <w:lang w:eastAsia="zh-CN"/>
        </w:rPr>
        <w:t>拟出让矿区的基本情况及相关要求</w:t>
      </w:r>
    </w:p>
    <w:p w14:paraId="35284EED">
      <w:pPr>
        <w:pStyle w:val="4"/>
        <w:kinsoku/>
        <w:topLinePunct/>
        <w:autoSpaceDE/>
        <w:autoSpaceDN/>
        <w:adjustRightInd/>
        <w:snapToGrid/>
        <w:spacing w:line="570" w:lineRule="exact"/>
        <w:ind w:firstLine="880" w:firstLineChars="200"/>
        <w:jc w:val="center"/>
        <w:outlineLvl w:val="4"/>
        <w:rPr>
          <w:rFonts w:ascii="方正小标宋简体" w:hAnsi="方正小标宋简体" w:eastAsia="方正小标宋简体" w:cs="方正小标宋简体"/>
          <w:color w:val="auto"/>
          <w:kern w:val="10"/>
          <w:sz w:val="44"/>
          <w:szCs w:val="44"/>
          <w:lang w:eastAsia="zh-CN"/>
        </w:rPr>
      </w:pPr>
    </w:p>
    <w:p w14:paraId="78FAED3E">
      <w:pPr>
        <w:pStyle w:val="3"/>
        <w:keepNext w:val="0"/>
        <w:keepLines w:val="0"/>
        <w:numPr>
          <w:ilvl w:val="0"/>
          <w:numId w:val="1"/>
        </w:numPr>
        <w:kinsoku/>
        <w:topLinePunct/>
        <w:autoSpaceDE/>
        <w:autoSpaceDN/>
        <w:adjustRightInd/>
        <w:snapToGrid/>
        <w:spacing w:line="570" w:lineRule="exact"/>
        <w:ind w:firstLine="640"/>
        <w:rPr>
          <w:rFonts w:ascii="黑体" w:hAnsi="黑体" w:eastAsia="黑体" w:cs="黑体"/>
          <w:b w:val="0"/>
          <w:color w:val="auto"/>
          <w:kern w:val="10"/>
          <w:sz w:val="32"/>
          <w:szCs w:val="32"/>
          <w:lang w:eastAsia="zh-CN"/>
        </w:rPr>
      </w:pPr>
      <w:bookmarkStart w:id="0" w:name="_Toc1389"/>
      <w:r>
        <w:rPr>
          <w:rFonts w:hint="eastAsia" w:ascii="黑体" w:hAnsi="黑体" w:eastAsia="黑体" w:cs="黑体"/>
          <w:b w:val="0"/>
          <w:color w:val="auto"/>
          <w:kern w:val="10"/>
          <w:sz w:val="32"/>
          <w:szCs w:val="32"/>
          <w:lang w:eastAsia="zh-CN"/>
        </w:rPr>
        <w:t>矿区地理位置及范围</w:t>
      </w:r>
      <w:bookmarkEnd w:id="0"/>
    </w:p>
    <w:p w14:paraId="2EC9A7FF">
      <w:pPr>
        <w:widowControl w:val="0"/>
        <w:kinsoku/>
        <w:wordWrap w:val="0"/>
        <w:topLinePunct/>
        <w:autoSpaceDE/>
        <w:autoSpaceDN/>
        <w:spacing w:line="570" w:lineRule="exact"/>
        <w:ind w:firstLine="684" w:firstLineChars="200"/>
        <w:jc w:val="both"/>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spacing w:val="11"/>
          <w:kern w:val="32"/>
          <w:sz w:val="32"/>
          <w:szCs w:val="32"/>
          <w:lang w:val="en-US" w:eastAsia="zh-CN"/>
        </w:rPr>
        <w:t>矿区位于广东省遂溪县县城 242º方向，直距约 50km 处，行政区划隶属遂溪县港门镇管辖。矿区中心地理坐标：东经</w:t>
      </w:r>
      <w:r>
        <w:rPr>
          <w:rFonts w:hint="eastAsia" w:ascii="仿宋_GB2312" w:hAnsi="仿宋_GB2312" w:eastAsia="仿宋_GB2312" w:cs="仿宋_GB2312"/>
          <w:color w:val="auto"/>
          <w:kern w:val="32"/>
          <w:sz w:val="32"/>
          <w:szCs w:val="32"/>
          <w:lang w:val="en-US" w:eastAsia="zh-CN"/>
        </w:rPr>
        <w:t xml:space="preserve"> 109°49′27″，北纬 21°10′14″。 </w:t>
      </w:r>
    </w:p>
    <w:p w14:paraId="4EBB45CA">
      <w:pPr>
        <w:widowControl w:val="0"/>
        <w:kinsoku/>
        <w:wordWrap w:val="0"/>
        <w:topLinePunct/>
        <w:autoSpaceDE/>
        <w:autoSpaceDN/>
        <w:spacing w:line="570" w:lineRule="exact"/>
        <w:ind w:firstLine="640" w:firstLineChars="200"/>
        <w:jc w:val="both"/>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矿区面积</w:t>
      </w:r>
      <w:r>
        <w:rPr>
          <w:rFonts w:hint="eastAsia" w:ascii="仿宋_GB2312" w:hAnsi="仿宋_GB2312" w:eastAsia="仿宋_GB2312" w:cs="仿宋_GB2312"/>
          <w:color w:val="auto"/>
          <w:kern w:val="32"/>
          <w:sz w:val="32"/>
          <w:szCs w:val="32"/>
          <w:lang w:val="en-US" w:eastAsia="zh-CN"/>
        </w:rPr>
        <w:t>约为</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sz w:val="32"/>
          <w:szCs w:val="32"/>
          <w:lang w:val="en-US" w:eastAsia="zh-CN"/>
        </w:rPr>
        <w:t>0.1656</w:t>
      </w:r>
      <w:r>
        <w:rPr>
          <w:rFonts w:hint="eastAsia" w:ascii="仿宋_GB2312" w:hAnsi="仿宋_GB2312" w:eastAsia="仿宋_GB2312" w:cs="仿宋_GB2312"/>
          <w:color w:val="auto"/>
          <w:kern w:val="32"/>
          <w:sz w:val="32"/>
          <w:szCs w:val="32"/>
          <w:lang w:eastAsia="zh-CN"/>
        </w:rPr>
        <w:t>km</w:t>
      </w:r>
      <w:r>
        <w:rPr>
          <w:rFonts w:hint="eastAsia" w:ascii="仿宋_GB2312" w:hAnsi="仿宋_GB2312" w:eastAsia="仿宋_GB2312" w:cs="仿宋_GB2312"/>
          <w:color w:val="auto"/>
          <w:kern w:val="32"/>
          <w:sz w:val="32"/>
          <w:szCs w:val="32"/>
          <w:vertAlign w:val="superscript"/>
          <w:lang w:eastAsia="zh-CN"/>
        </w:rPr>
        <w:t>2</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spacing w:val="-6"/>
          <w:kern w:val="0"/>
          <w:sz w:val="32"/>
          <w:szCs w:val="32"/>
          <w:lang w:val="en-US" w:eastAsia="zh-CN" w:bidi="ar"/>
        </w:rPr>
        <w:t>土地使用权属于</w:t>
      </w:r>
      <w:r>
        <w:rPr>
          <w:rFonts w:hint="eastAsia" w:ascii="仿宋_GB2312" w:hAnsi="仿宋_GB2312" w:eastAsia="仿宋_GB2312" w:cs="仿宋_GB2312"/>
          <w:color w:val="auto"/>
          <w:spacing w:val="-6"/>
          <w:kern w:val="0"/>
          <w:sz w:val="32"/>
          <w:szCs w:val="32"/>
          <w:lang w:eastAsia="zh-CN"/>
        </w:rPr>
        <w:t>广东省遂溪县港门</w:t>
      </w:r>
      <w:r>
        <w:rPr>
          <w:rFonts w:hint="eastAsia" w:ascii="仿宋_GB2312" w:hAnsi="仿宋_GB2312" w:eastAsia="仿宋_GB2312" w:cs="仿宋_GB2312"/>
          <w:color w:val="auto"/>
          <w:spacing w:val="-6"/>
          <w:sz w:val="32"/>
          <w:szCs w:val="32"/>
        </w:rPr>
        <w:t>镇</w:t>
      </w:r>
      <w:r>
        <w:rPr>
          <w:rFonts w:hint="eastAsia" w:ascii="仿宋_GB2312" w:hAnsi="仿宋_GB2312" w:eastAsia="仿宋_GB2312" w:cs="仿宋_GB2312"/>
          <w:color w:val="auto"/>
          <w:spacing w:val="-6"/>
          <w:sz w:val="32"/>
          <w:szCs w:val="32"/>
          <w:lang w:eastAsia="zh-CN"/>
        </w:rPr>
        <w:t>枫树</w:t>
      </w:r>
      <w:r>
        <w:rPr>
          <w:rFonts w:hint="eastAsia" w:ascii="仿宋_GB2312" w:hAnsi="仿宋_GB2312" w:eastAsia="仿宋_GB2312" w:cs="仿宋_GB2312"/>
          <w:color w:val="auto"/>
          <w:sz w:val="32"/>
          <w:szCs w:val="32"/>
          <w:lang w:eastAsia="zh-CN"/>
        </w:rPr>
        <w:t>村北地经济合作社，</w:t>
      </w:r>
      <w:r>
        <w:rPr>
          <w:rFonts w:hint="eastAsia" w:ascii="仿宋_GB2312" w:hAnsi="仿宋_GB2312" w:eastAsia="仿宋_GB2312" w:cs="仿宋_GB2312"/>
          <w:color w:val="auto"/>
          <w:kern w:val="32"/>
          <w:sz w:val="32"/>
          <w:szCs w:val="32"/>
          <w:lang w:eastAsia="zh-CN"/>
        </w:rPr>
        <w:t>开采标高：</w:t>
      </w:r>
      <w:r>
        <w:rPr>
          <w:rFonts w:hint="eastAsia" w:ascii="仿宋_GB2312" w:hAnsi="仿宋_GB2312" w:eastAsia="仿宋_GB2312" w:cs="仿宋_GB2312"/>
          <w:color w:val="auto"/>
          <w:kern w:val="32"/>
          <w:sz w:val="32"/>
          <w:szCs w:val="32"/>
          <w:lang w:val="en-US" w:eastAsia="zh-CN"/>
        </w:rPr>
        <w:t>24.66</w:t>
      </w:r>
      <w:r>
        <w:rPr>
          <w:rFonts w:hint="eastAsia" w:ascii="仿宋_GB2312" w:hAnsi="仿宋_GB2312" w:eastAsia="仿宋_GB2312" w:cs="仿宋_GB2312"/>
          <w:sz w:val="32"/>
          <w:szCs w:val="32"/>
          <w:lang w:eastAsia="zh-CN"/>
        </w:rPr>
        <w:t>m～</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lang w:eastAsia="zh-CN"/>
        </w:rPr>
        <w:t>m</w:t>
      </w:r>
      <w:r>
        <w:rPr>
          <w:rFonts w:hint="eastAsia" w:ascii="仿宋_GB2312" w:hAnsi="仿宋_GB2312" w:eastAsia="仿宋_GB2312" w:cs="仿宋_GB2312"/>
          <w:color w:val="auto"/>
          <w:kern w:val="32"/>
          <w:sz w:val="32"/>
          <w:szCs w:val="32"/>
          <w:lang w:eastAsia="zh-CN"/>
        </w:rPr>
        <w:t>，由</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lang w:eastAsia="zh-CN"/>
        </w:rPr>
        <w:t>个拐点圈定，其拐点坐标（2000国家大地坐标系）为：</w:t>
      </w:r>
    </w:p>
    <w:tbl>
      <w:tblPr>
        <w:tblStyle w:val="5"/>
        <w:tblW w:w="9453" w:type="dxa"/>
        <w:tblInd w:w="93" w:type="dxa"/>
        <w:tblLayout w:type="fixed"/>
        <w:tblCellMar>
          <w:top w:w="0" w:type="dxa"/>
          <w:left w:w="108" w:type="dxa"/>
          <w:bottom w:w="0" w:type="dxa"/>
          <w:right w:w="108" w:type="dxa"/>
        </w:tblCellMar>
      </w:tblPr>
      <w:tblGrid>
        <w:gridCol w:w="797"/>
        <w:gridCol w:w="1808"/>
        <w:gridCol w:w="2153"/>
        <w:gridCol w:w="841"/>
        <w:gridCol w:w="1859"/>
        <w:gridCol w:w="1995"/>
      </w:tblGrid>
      <w:tr w14:paraId="02771356">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410933D0">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拐点</w:t>
            </w:r>
            <w:r>
              <w:rPr>
                <w:rFonts w:hint="eastAsia" w:ascii="仿宋_GB2312" w:hAnsi="仿宋_GB2312" w:eastAsia="仿宋_GB2312" w:cs="仿宋_GB2312"/>
                <w:color w:val="auto"/>
                <w:kern w:val="32"/>
                <w:sz w:val="28"/>
                <w:szCs w:val="28"/>
                <w:lang w:eastAsia="zh-CN"/>
              </w:rPr>
              <w:t>编</w:t>
            </w:r>
            <w:r>
              <w:rPr>
                <w:rFonts w:hint="eastAsia" w:ascii="仿宋_GB2312" w:hAnsi="仿宋_GB2312" w:eastAsia="仿宋_GB2312" w:cs="仿宋_GB2312"/>
                <w:color w:val="auto"/>
                <w:kern w:val="32"/>
                <w:sz w:val="28"/>
                <w:szCs w:val="28"/>
              </w:rPr>
              <w:t>号</w:t>
            </w:r>
          </w:p>
        </w:tc>
        <w:tc>
          <w:tcPr>
            <w:tcW w:w="1808" w:type="dxa"/>
            <w:tcBorders>
              <w:top w:val="single" w:color="auto" w:sz="4" w:space="0"/>
              <w:left w:val="nil"/>
              <w:bottom w:val="single" w:color="auto" w:sz="4" w:space="0"/>
              <w:right w:val="single" w:color="auto" w:sz="4" w:space="0"/>
            </w:tcBorders>
            <w:vAlign w:val="center"/>
          </w:tcPr>
          <w:p w14:paraId="710DA079">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X</w:t>
            </w:r>
          </w:p>
        </w:tc>
        <w:tc>
          <w:tcPr>
            <w:tcW w:w="2153" w:type="dxa"/>
            <w:tcBorders>
              <w:top w:val="single" w:color="auto" w:sz="4" w:space="0"/>
              <w:left w:val="nil"/>
              <w:bottom w:val="single" w:color="auto" w:sz="4" w:space="0"/>
              <w:right w:val="single" w:color="auto" w:sz="4" w:space="0"/>
            </w:tcBorders>
            <w:vAlign w:val="center"/>
          </w:tcPr>
          <w:p w14:paraId="2A3C1D2D">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Y</w:t>
            </w:r>
          </w:p>
        </w:tc>
        <w:tc>
          <w:tcPr>
            <w:tcW w:w="841" w:type="dxa"/>
            <w:tcBorders>
              <w:top w:val="single" w:color="auto" w:sz="4" w:space="0"/>
              <w:left w:val="nil"/>
              <w:bottom w:val="single" w:color="auto" w:sz="4" w:space="0"/>
              <w:right w:val="single" w:color="auto" w:sz="4" w:space="0"/>
            </w:tcBorders>
            <w:vAlign w:val="center"/>
          </w:tcPr>
          <w:p w14:paraId="697AB42E">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拐点</w:t>
            </w:r>
            <w:r>
              <w:rPr>
                <w:rFonts w:hint="eastAsia" w:ascii="仿宋_GB2312" w:hAnsi="仿宋_GB2312" w:eastAsia="仿宋_GB2312" w:cs="仿宋_GB2312"/>
                <w:color w:val="auto"/>
                <w:kern w:val="32"/>
                <w:sz w:val="28"/>
                <w:szCs w:val="28"/>
                <w:lang w:eastAsia="zh-CN"/>
              </w:rPr>
              <w:t>编</w:t>
            </w:r>
            <w:r>
              <w:rPr>
                <w:rFonts w:hint="eastAsia" w:ascii="仿宋_GB2312" w:hAnsi="仿宋_GB2312" w:eastAsia="仿宋_GB2312" w:cs="仿宋_GB2312"/>
                <w:color w:val="auto"/>
                <w:kern w:val="32"/>
                <w:sz w:val="28"/>
                <w:szCs w:val="28"/>
              </w:rPr>
              <w:t>号</w:t>
            </w:r>
          </w:p>
        </w:tc>
        <w:tc>
          <w:tcPr>
            <w:tcW w:w="1859" w:type="dxa"/>
            <w:tcBorders>
              <w:top w:val="single" w:color="auto" w:sz="4" w:space="0"/>
              <w:left w:val="nil"/>
              <w:bottom w:val="single" w:color="auto" w:sz="4" w:space="0"/>
              <w:right w:val="single" w:color="auto" w:sz="4" w:space="0"/>
            </w:tcBorders>
            <w:vAlign w:val="center"/>
          </w:tcPr>
          <w:p w14:paraId="7C24CEC0">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X</w:t>
            </w:r>
          </w:p>
        </w:tc>
        <w:tc>
          <w:tcPr>
            <w:tcW w:w="1995" w:type="dxa"/>
            <w:tcBorders>
              <w:top w:val="single" w:color="auto" w:sz="4" w:space="0"/>
              <w:left w:val="nil"/>
              <w:bottom w:val="single" w:color="auto" w:sz="4" w:space="0"/>
              <w:right w:val="single" w:color="auto" w:sz="4" w:space="0"/>
            </w:tcBorders>
            <w:vAlign w:val="center"/>
          </w:tcPr>
          <w:p w14:paraId="3702174E">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Y</w:t>
            </w:r>
          </w:p>
        </w:tc>
      </w:tr>
      <w:tr w14:paraId="4EB73F0E">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0DAFDCFD">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J1</w:t>
            </w:r>
          </w:p>
        </w:tc>
        <w:tc>
          <w:tcPr>
            <w:tcW w:w="1808" w:type="dxa"/>
            <w:tcBorders>
              <w:top w:val="single" w:color="auto" w:sz="4" w:space="0"/>
              <w:left w:val="single" w:color="auto" w:sz="4" w:space="0"/>
              <w:bottom w:val="single" w:color="auto" w:sz="4" w:space="0"/>
              <w:right w:val="single" w:color="auto" w:sz="4" w:space="0"/>
            </w:tcBorders>
            <w:vAlign w:val="center"/>
          </w:tcPr>
          <w:p w14:paraId="583AE3E4">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2342639.42</w:t>
            </w:r>
          </w:p>
        </w:tc>
        <w:tc>
          <w:tcPr>
            <w:tcW w:w="2153" w:type="dxa"/>
            <w:tcBorders>
              <w:top w:val="single" w:color="auto" w:sz="4" w:space="0"/>
              <w:left w:val="single" w:color="auto" w:sz="4" w:space="0"/>
              <w:bottom w:val="single" w:color="auto" w:sz="4" w:space="0"/>
              <w:right w:val="single" w:color="auto" w:sz="4" w:space="0"/>
            </w:tcBorders>
            <w:vAlign w:val="center"/>
          </w:tcPr>
          <w:p w14:paraId="56353A6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37377052.02</w:t>
            </w:r>
          </w:p>
        </w:tc>
        <w:tc>
          <w:tcPr>
            <w:tcW w:w="841" w:type="dxa"/>
            <w:tcBorders>
              <w:top w:val="single" w:color="auto" w:sz="4" w:space="0"/>
              <w:left w:val="single" w:color="auto" w:sz="4" w:space="0"/>
              <w:bottom w:val="single" w:color="auto" w:sz="4" w:space="0"/>
              <w:right w:val="single" w:color="auto" w:sz="4" w:space="0"/>
            </w:tcBorders>
            <w:vAlign w:val="center"/>
          </w:tcPr>
          <w:p w14:paraId="2AD6F71D">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12</w:t>
            </w:r>
          </w:p>
        </w:tc>
        <w:tc>
          <w:tcPr>
            <w:tcW w:w="1859" w:type="dxa"/>
            <w:tcBorders>
              <w:top w:val="single" w:color="auto" w:sz="4" w:space="0"/>
              <w:left w:val="single" w:color="auto" w:sz="4" w:space="0"/>
              <w:bottom w:val="single" w:color="auto" w:sz="4" w:space="0"/>
              <w:right w:val="single" w:color="auto" w:sz="4" w:space="0"/>
            </w:tcBorders>
            <w:vAlign w:val="center"/>
          </w:tcPr>
          <w:p w14:paraId="1120FB0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2342651.84</w:t>
            </w:r>
          </w:p>
        </w:tc>
        <w:tc>
          <w:tcPr>
            <w:tcW w:w="1995" w:type="dxa"/>
            <w:tcBorders>
              <w:top w:val="single" w:color="auto" w:sz="4" w:space="0"/>
              <w:left w:val="single" w:color="auto" w:sz="4" w:space="0"/>
              <w:bottom w:val="single" w:color="auto" w:sz="4" w:space="0"/>
              <w:right w:val="single" w:color="auto" w:sz="4" w:space="0"/>
            </w:tcBorders>
            <w:vAlign w:val="center"/>
          </w:tcPr>
          <w:p w14:paraId="1A8A4E0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37377824.71</w:t>
            </w:r>
          </w:p>
        </w:tc>
      </w:tr>
      <w:tr w14:paraId="7C2EB10E">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060F0EA1">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2</w:t>
            </w:r>
          </w:p>
        </w:tc>
        <w:tc>
          <w:tcPr>
            <w:tcW w:w="1808" w:type="dxa"/>
            <w:tcBorders>
              <w:top w:val="single" w:color="auto" w:sz="4" w:space="0"/>
              <w:left w:val="single" w:color="auto" w:sz="4" w:space="0"/>
              <w:bottom w:val="single" w:color="auto" w:sz="4" w:space="0"/>
              <w:right w:val="single" w:color="auto" w:sz="4" w:space="0"/>
            </w:tcBorders>
            <w:vAlign w:val="center"/>
          </w:tcPr>
          <w:p w14:paraId="38281B3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2342655.70</w:t>
            </w:r>
          </w:p>
        </w:tc>
        <w:tc>
          <w:tcPr>
            <w:tcW w:w="2153" w:type="dxa"/>
            <w:tcBorders>
              <w:top w:val="single" w:color="auto" w:sz="4" w:space="0"/>
              <w:left w:val="single" w:color="auto" w:sz="4" w:space="0"/>
              <w:bottom w:val="single" w:color="auto" w:sz="4" w:space="0"/>
              <w:right w:val="single" w:color="auto" w:sz="4" w:space="0"/>
            </w:tcBorders>
            <w:vAlign w:val="center"/>
          </w:tcPr>
          <w:p w14:paraId="7FFB6B1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37377121.15</w:t>
            </w:r>
          </w:p>
        </w:tc>
        <w:tc>
          <w:tcPr>
            <w:tcW w:w="841" w:type="dxa"/>
            <w:tcBorders>
              <w:top w:val="single" w:color="auto" w:sz="4" w:space="0"/>
              <w:left w:val="single" w:color="auto" w:sz="4" w:space="0"/>
              <w:bottom w:val="single" w:color="auto" w:sz="4" w:space="0"/>
              <w:right w:val="single" w:color="auto" w:sz="4" w:space="0"/>
            </w:tcBorders>
            <w:vAlign w:val="center"/>
          </w:tcPr>
          <w:p w14:paraId="45AF69C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13</w:t>
            </w:r>
          </w:p>
        </w:tc>
        <w:tc>
          <w:tcPr>
            <w:tcW w:w="1859" w:type="dxa"/>
            <w:tcBorders>
              <w:top w:val="single" w:color="auto" w:sz="4" w:space="0"/>
              <w:left w:val="single" w:color="auto" w:sz="4" w:space="0"/>
              <w:bottom w:val="single" w:color="auto" w:sz="4" w:space="0"/>
              <w:right w:val="single" w:color="auto" w:sz="4" w:space="0"/>
            </w:tcBorders>
            <w:vAlign w:val="center"/>
          </w:tcPr>
          <w:p w14:paraId="22BB4D3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2342650.71</w:t>
            </w:r>
          </w:p>
        </w:tc>
        <w:tc>
          <w:tcPr>
            <w:tcW w:w="1995" w:type="dxa"/>
            <w:tcBorders>
              <w:top w:val="single" w:color="auto" w:sz="4" w:space="0"/>
              <w:left w:val="single" w:color="auto" w:sz="4" w:space="0"/>
              <w:bottom w:val="single" w:color="auto" w:sz="4" w:space="0"/>
              <w:right w:val="single" w:color="auto" w:sz="4" w:space="0"/>
            </w:tcBorders>
            <w:vAlign w:val="center"/>
          </w:tcPr>
          <w:p w14:paraId="5442D69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37377679.41</w:t>
            </w:r>
          </w:p>
        </w:tc>
      </w:tr>
      <w:tr w14:paraId="73172A57">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794989FC">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3</w:t>
            </w:r>
          </w:p>
        </w:tc>
        <w:tc>
          <w:tcPr>
            <w:tcW w:w="1808" w:type="dxa"/>
            <w:tcBorders>
              <w:top w:val="single" w:color="auto" w:sz="4" w:space="0"/>
              <w:left w:val="single" w:color="auto" w:sz="4" w:space="0"/>
              <w:bottom w:val="single" w:color="auto" w:sz="4" w:space="0"/>
              <w:right w:val="single" w:color="auto" w:sz="4" w:space="0"/>
            </w:tcBorders>
            <w:vAlign w:val="center"/>
          </w:tcPr>
          <w:p w14:paraId="3345288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2342652.63</w:t>
            </w:r>
          </w:p>
        </w:tc>
        <w:tc>
          <w:tcPr>
            <w:tcW w:w="2153" w:type="dxa"/>
            <w:tcBorders>
              <w:top w:val="single" w:color="auto" w:sz="4" w:space="0"/>
              <w:left w:val="single" w:color="auto" w:sz="4" w:space="0"/>
              <w:bottom w:val="single" w:color="auto" w:sz="4" w:space="0"/>
              <w:right w:val="single" w:color="auto" w:sz="4" w:space="0"/>
            </w:tcBorders>
            <w:vAlign w:val="center"/>
          </w:tcPr>
          <w:p w14:paraId="06736C5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37377159.03</w:t>
            </w:r>
          </w:p>
        </w:tc>
        <w:tc>
          <w:tcPr>
            <w:tcW w:w="841" w:type="dxa"/>
            <w:tcBorders>
              <w:top w:val="single" w:color="auto" w:sz="4" w:space="0"/>
              <w:left w:val="single" w:color="auto" w:sz="4" w:space="0"/>
              <w:bottom w:val="single" w:color="auto" w:sz="4" w:space="0"/>
              <w:right w:val="single" w:color="auto" w:sz="4" w:space="0"/>
            </w:tcBorders>
            <w:vAlign w:val="center"/>
          </w:tcPr>
          <w:p w14:paraId="3D64F87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14</w:t>
            </w:r>
          </w:p>
        </w:tc>
        <w:tc>
          <w:tcPr>
            <w:tcW w:w="1859" w:type="dxa"/>
            <w:tcBorders>
              <w:top w:val="single" w:color="auto" w:sz="4" w:space="0"/>
              <w:left w:val="single" w:color="auto" w:sz="4" w:space="0"/>
              <w:bottom w:val="single" w:color="auto" w:sz="4" w:space="0"/>
              <w:right w:val="single" w:color="auto" w:sz="4" w:space="0"/>
            </w:tcBorders>
            <w:vAlign w:val="center"/>
          </w:tcPr>
          <w:p w14:paraId="4D8CEF8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2342612.45</w:t>
            </w:r>
          </w:p>
        </w:tc>
        <w:tc>
          <w:tcPr>
            <w:tcW w:w="1995" w:type="dxa"/>
            <w:tcBorders>
              <w:top w:val="single" w:color="auto" w:sz="4" w:space="0"/>
              <w:left w:val="single" w:color="auto" w:sz="4" w:space="0"/>
              <w:bottom w:val="single" w:color="auto" w:sz="4" w:space="0"/>
              <w:right w:val="single" w:color="auto" w:sz="4" w:space="0"/>
            </w:tcBorders>
            <w:vAlign w:val="center"/>
          </w:tcPr>
          <w:p w14:paraId="7C6B62F4">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37377663.31</w:t>
            </w:r>
          </w:p>
        </w:tc>
      </w:tr>
      <w:tr w14:paraId="49D2C97C">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46DB7126">
            <w:pPr>
              <w:widowControl w:val="0"/>
              <w:kinsoku/>
              <w:wordWrap w:val="0"/>
              <w:topLinePunct/>
              <w:autoSpaceDE/>
              <w:autoSpaceDN/>
              <w:jc w:val="center"/>
              <w:rPr>
                <w:rFonts w:ascii="仿宋_GB2312" w:hAnsi="仿宋_GB2312" w:eastAsia="仿宋_GB2312" w:cs="仿宋_GB2312"/>
                <w:color w:val="auto"/>
                <w:kern w:val="32"/>
                <w:sz w:val="28"/>
                <w:szCs w:val="28"/>
                <w:lang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4</w:t>
            </w:r>
          </w:p>
        </w:tc>
        <w:tc>
          <w:tcPr>
            <w:tcW w:w="1808" w:type="dxa"/>
            <w:tcBorders>
              <w:top w:val="single" w:color="auto" w:sz="4" w:space="0"/>
              <w:left w:val="single" w:color="auto" w:sz="4" w:space="0"/>
              <w:bottom w:val="single" w:color="auto" w:sz="4" w:space="0"/>
              <w:right w:val="single" w:color="auto" w:sz="4" w:space="0"/>
            </w:tcBorders>
            <w:vAlign w:val="center"/>
          </w:tcPr>
          <w:p w14:paraId="0FDEA474">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2342674.25</w:t>
            </w:r>
          </w:p>
        </w:tc>
        <w:tc>
          <w:tcPr>
            <w:tcW w:w="2153" w:type="dxa"/>
            <w:tcBorders>
              <w:top w:val="single" w:color="auto" w:sz="4" w:space="0"/>
              <w:left w:val="single" w:color="auto" w:sz="4" w:space="0"/>
              <w:bottom w:val="single" w:color="auto" w:sz="4" w:space="0"/>
              <w:right w:val="single" w:color="auto" w:sz="4" w:space="0"/>
            </w:tcBorders>
            <w:vAlign w:val="center"/>
          </w:tcPr>
          <w:p w14:paraId="17227A56">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37377178.80</w:t>
            </w:r>
          </w:p>
        </w:tc>
        <w:tc>
          <w:tcPr>
            <w:tcW w:w="841" w:type="dxa"/>
            <w:tcBorders>
              <w:top w:val="single" w:color="auto" w:sz="4" w:space="0"/>
              <w:left w:val="single" w:color="auto" w:sz="4" w:space="0"/>
              <w:bottom w:val="single" w:color="auto" w:sz="4" w:space="0"/>
              <w:right w:val="single" w:color="auto" w:sz="4" w:space="0"/>
            </w:tcBorders>
            <w:vAlign w:val="center"/>
          </w:tcPr>
          <w:p w14:paraId="2AE669B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15</w:t>
            </w:r>
          </w:p>
        </w:tc>
        <w:tc>
          <w:tcPr>
            <w:tcW w:w="1859" w:type="dxa"/>
            <w:tcBorders>
              <w:top w:val="single" w:color="auto" w:sz="4" w:space="0"/>
              <w:left w:val="single" w:color="auto" w:sz="4" w:space="0"/>
              <w:bottom w:val="single" w:color="auto" w:sz="4" w:space="0"/>
              <w:right w:val="single" w:color="auto" w:sz="4" w:space="0"/>
            </w:tcBorders>
            <w:vAlign w:val="center"/>
          </w:tcPr>
          <w:p w14:paraId="0369248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2342585.40</w:t>
            </w:r>
          </w:p>
        </w:tc>
        <w:tc>
          <w:tcPr>
            <w:tcW w:w="1995" w:type="dxa"/>
            <w:tcBorders>
              <w:top w:val="single" w:color="auto" w:sz="4" w:space="0"/>
              <w:left w:val="single" w:color="auto" w:sz="4" w:space="0"/>
              <w:bottom w:val="single" w:color="auto" w:sz="4" w:space="0"/>
              <w:right w:val="single" w:color="auto" w:sz="4" w:space="0"/>
            </w:tcBorders>
            <w:vAlign w:val="center"/>
          </w:tcPr>
          <w:p w14:paraId="01B8238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37377522.34</w:t>
            </w:r>
          </w:p>
        </w:tc>
      </w:tr>
      <w:tr w14:paraId="69AC7928">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61DCB023">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5</w:t>
            </w:r>
          </w:p>
        </w:tc>
        <w:tc>
          <w:tcPr>
            <w:tcW w:w="1808" w:type="dxa"/>
            <w:tcBorders>
              <w:top w:val="single" w:color="auto" w:sz="4" w:space="0"/>
              <w:left w:val="single" w:color="auto" w:sz="4" w:space="0"/>
              <w:bottom w:val="single" w:color="auto" w:sz="4" w:space="0"/>
              <w:right w:val="single" w:color="auto" w:sz="4" w:space="0"/>
            </w:tcBorders>
            <w:vAlign w:val="center"/>
          </w:tcPr>
          <w:p w14:paraId="22EDDC3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2342751.04</w:t>
            </w:r>
          </w:p>
        </w:tc>
        <w:tc>
          <w:tcPr>
            <w:tcW w:w="2153" w:type="dxa"/>
            <w:tcBorders>
              <w:top w:val="single" w:color="auto" w:sz="4" w:space="0"/>
              <w:left w:val="single" w:color="auto" w:sz="4" w:space="0"/>
              <w:bottom w:val="single" w:color="auto" w:sz="4" w:space="0"/>
              <w:right w:val="single" w:color="auto" w:sz="4" w:space="0"/>
            </w:tcBorders>
            <w:vAlign w:val="center"/>
          </w:tcPr>
          <w:p w14:paraId="11D0132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37377365.01</w:t>
            </w:r>
          </w:p>
        </w:tc>
        <w:tc>
          <w:tcPr>
            <w:tcW w:w="841" w:type="dxa"/>
            <w:tcBorders>
              <w:top w:val="single" w:color="auto" w:sz="4" w:space="0"/>
              <w:left w:val="single" w:color="auto" w:sz="4" w:space="0"/>
              <w:bottom w:val="single" w:color="auto" w:sz="4" w:space="0"/>
              <w:right w:val="single" w:color="auto" w:sz="4" w:space="0"/>
            </w:tcBorders>
            <w:vAlign w:val="center"/>
          </w:tcPr>
          <w:p w14:paraId="6ADA91A4">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16</w:t>
            </w:r>
          </w:p>
        </w:tc>
        <w:tc>
          <w:tcPr>
            <w:tcW w:w="1859" w:type="dxa"/>
            <w:tcBorders>
              <w:top w:val="single" w:color="auto" w:sz="4" w:space="0"/>
              <w:left w:val="single" w:color="auto" w:sz="4" w:space="0"/>
              <w:bottom w:val="single" w:color="auto" w:sz="4" w:space="0"/>
              <w:right w:val="single" w:color="auto" w:sz="4" w:space="0"/>
            </w:tcBorders>
            <w:vAlign w:val="center"/>
          </w:tcPr>
          <w:p w14:paraId="45632B3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2342578.87</w:t>
            </w:r>
          </w:p>
        </w:tc>
        <w:tc>
          <w:tcPr>
            <w:tcW w:w="1995" w:type="dxa"/>
            <w:tcBorders>
              <w:top w:val="single" w:color="auto" w:sz="4" w:space="0"/>
              <w:left w:val="single" w:color="auto" w:sz="4" w:space="0"/>
              <w:bottom w:val="single" w:color="auto" w:sz="4" w:space="0"/>
              <w:right w:val="single" w:color="auto" w:sz="4" w:space="0"/>
            </w:tcBorders>
            <w:vAlign w:val="center"/>
          </w:tcPr>
          <w:p w14:paraId="3FA8541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37377208.86</w:t>
            </w:r>
          </w:p>
        </w:tc>
      </w:tr>
      <w:tr w14:paraId="00FFDF21">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55F571C1">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6</w:t>
            </w:r>
          </w:p>
        </w:tc>
        <w:tc>
          <w:tcPr>
            <w:tcW w:w="1808" w:type="dxa"/>
            <w:tcBorders>
              <w:top w:val="single" w:color="auto" w:sz="4" w:space="0"/>
              <w:left w:val="single" w:color="auto" w:sz="4" w:space="0"/>
              <w:bottom w:val="single" w:color="auto" w:sz="4" w:space="0"/>
              <w:right w:val="single" w:color="auto" w:sz="4" w:space="0"/>
            </w:tcBorders>
            <w:vAlign w:val="center"/>
          </w:tcPr>
          <w:p w14:paraId="39B4ACD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2342880.71</w:t>
            </w:r>
          </w:p>
        </w:tc>
        <w:tc>
          <w:tcPr>
            <w:tcW w:w="2153" w:type="dxa"/>
            <w:tcBorders>
              <w:top w:val="single" w:color="auto" w:sz="4" w:space="0"/>
              <w:left w:val="single" w:color="auto" w:sz="4" w:space="0"/>
              <w:bottom w:val="single" w:color="auto" w:sz="4" w:space="0"/>
              <w:right w:val="single" w:color="auto" w:sz="4" w:space="0"/>
            </w:tcBorders>
            <w:vAlign w:val="center"/>
          </w:tcPr>
          <w:p w14:paraId="484364E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37377574.20</w:t>
            </w:r>
          </w:p>
        </w:tc>
        <w:tc>
          <w:tcPr>
            <w:tcW w:w="841" w:type="dxa"/>
            <w:tcBorders>
              <w:top w:val="single" w:color="auto" w:sz="4" w:space="0"/>
              <w:left w:val="single" w:color="auto" w:sz="4" w:space="0"/>
              <w:bottom w:val="single" w:color="auto" w:sz="4" w:space="0"/>
              <w:right w:val="single" w:color="auto" w:sz="4" w:space="0"/>
            </w:tcBorders>
            <w:vAlign w:val="center"/>
          </w:tcPr>
          <w:p w14:paraId="0C1D662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17</w:t>
            </w:r>
          </w:p>
        </w:tc>
        <w:tc>
          <w:tcPr>
            <w:tcW w:w="1859" w:type="dxa"/>
            <w:tcBorders>
              <w:top w:val="single" w:color="auto" w:sz="4" w:space="0"/>
              <w:left w:val="single" w:color="auto" w:sz="4" w:space="0"/>
              <w:bottom w:val="single" w:color="auto" w:sz="4" w:space="0"/>
              <w:right w:val="single" w:color="auto" w:sz="4" w:space="0"/>
            </w:tcBorders>
            <w:vAlign w:val="center"/>
          </w:tcPr>
          <w:p w14:paraId="043CB087">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2342535.25</w:t>
            </w:r>
          </w:p>
        </w:tc>
        <w:tc>
          <w:tcPr>
            <w:tcW w:w="1995" w:type="dxa"/>
            <w:tcBorders>
              <w:top w:val="single" w:color="auto" w:sz="4" w:space="0"/>
              <w:left w:val="single" w:color="auto" w:sz="4" w:space="0"/>
              <w:bottom w:val="single" w:color="auto" w:sz="4" w:space="0"/>
              <w:right w:val="single" w:color="auto" w:sz="4" w:space="0"/>
            </w:tcBorders>
            <w:vAlign w:val="center"/>
          </w:tcPr>
          <w:p w14:paraId="540A8779">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37377207.84</w:t>
            </w:r>
          </w:p>
        </w:tc>
      </w:tr>
      <w:tr w14:paraId="2E98187B">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4A21130B">
            <w:pPr>
              <w:widowControl w:val="0"/>
              <w:kinsoku/>
              <w:wordWrap w:val="0"/>
              <w:topLinePunct/>
              <w:autoSpaceDE/>
              <w:autoSpaceDN/>
              <w:jc w:val="center"/>
              <w:rPr>
                <w:rFonts w:hint="eastAsia"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7</w:t>
            </w:r>
          </w:p>
        </w:tc>
        <w:tc>
          <w:tcPr>
            <w:tcW w:w="1808" w:type="dxa"/>
            <w:tcBorders>
              <w:top w:val="single" w:color="auto" w:sz="4" w:space="0"/>
              <w:left w:val="single" w:color="auto" w:sz="4" w:space="0"/>
              <w:bottom w:val="single" w:color="auto" w:sz="4" w:space="0"/>
              <w:right w:val="single" w:color="auto" w:sz="4" w:space="0"/>
            </w:tcBorders>
            <w:vAlign w:val="center"/>
          </w:tcPr>
          <w:p w14:paraId="0AC3D099">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2342942.09</w:t>
            </w:r>
          </w:p>
        </w:tc>
        <w:tc>
          <w:tcPr>
            <w:tcW w:w="2153" w:type="dxa"/>
            <w:tcBorders>
              <w:top w:val="single" w:color="auto" w:sz="4" w:space="0"/>
              <w:left w:val="single" w:color="auto" w:sz="4" w:space="0"/>
              <w:bottom w:val="single" w:color="auto" w:sz="4" w:space="0"/>
              <w:right w:val="single" w:color="auto" w:sz="4" w:space="0"/>
            </w:tcBorders>
            <w:vAlign w:val="center"/>
          </w:tcPr>
          <w:p w14:paraId="673D11D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37377614.98</w:t>
            </w:r>
          </w:p>
        </w:tc>
        <w:tc>
          <w:tcPr>
            <w:tcW w:w="841" w:type="dxa"/>
            <w:tcBorders>
              <w:top w:val="single" w:color="auto" w:sz="4" w:space="0"/>
              <w:left w:val="single" w:color="auto" w:sz="4" w:space="0"/>
              <w:bottom w:val="single" w:color="auto" w:sz="4" w:space="0"/>
              <w:right w:val="single" w:color="auto" w:sz="4" w:space="0"/>
            </w:tcBorders>
            <w:vAlign w:val="center"/>
          </w:tcPr>
          <w:p w14:paraId="6226BAF6">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18</w:t>
            </w:r>
          </w:p>
        </w:tc>
        <w:tc>
          <w:tcPr>
            <w:tcW w:w="1859" w:type="dxa"/>
            <w:tcBorders>
              <w:top w:val="single" w:color="auto" w:sz="4" w:space="0"/>
              <w:left w:val="single" w:color="auto" w:sz="4" w:space="0"/>
              <w:bottom w:val="single" w:color="auto" w:sz="4" w:space="0"/>
              <w:right w:val="single" w:color="auto" w:sz="4" w:space="0"/>
            </w:tcBorders>
            <w:vAlign w:val="center"/>
          </w:tcPr>
          <w:p w14:paraId="76ABAC9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2342529.17</w:t>
            </w:r>
          </w:p>
        </w:tc>
        <w:tc>
          <w:tcPr>
            <w:tcW w:w="1995" w:type="dxa"/>
            <w:tcBorders>
              <w:top w:val="single" w:color="auto" w:sz="4" w:space="0"/>
              <w:left w:val="single" w:color="auto" w:sz="4" w:space="0"/>
              <w:bottom w:val="single" w:color="auto" w:sz="4" w:space="0"/>
              <w:right w:val="single" w:color="auto" w:sz="4" w:space="0"/>
            </w:tcBorders>
            <w:vAlign w:val="center"/>
          </w:tcPr>
          <w:p w14:paraId="1CC8635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37377149.98</w:t>
            </w:r>
          </w:p>
        </w:tc>
      </w:tr>
      <w:tr w14:paraId="048C9A8C">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367231D9">
            <w:pPr>
              <w:widowControl w:val="0"/>
              <w:kinsoku/>
              <w:wordWrap w:val="0"/>
              <w:topLinePunct/>
              <w:autoSpaceDE/>
              <w:autoSpaceDN/>
              <w:jc w:val="center"/>
              <w:rPr>
                <w:rFonts w:hint="eastAsia"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8</w:t>
            </w:r>
          </w:p>
        </w:tc>
        <w:tc>
          <w:tcPr>
            <w:tcW w:w="1808" w:type="dxa"/>
            <w:tcBorders>
              <w:top w:val="single" w:color="auto" w:sz="4" w:space="0"/>
              <w:left w:val="single" w:color="auto" w:sz="4" w:space="0"/>
              <w:bottom w:val="single" w:color="auto" w:sz="4" w:space="0"/>
              <w:right w:val="single" w:color="auto" w:sz="4" w:space="0"/>
            </w:tcBorders>
            <w:vAlign w:val="center"/>
          </w:tcPr>
          <w:p w14:paraId="6E88277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2342938.73</w:t>
            </w:r>
          </w:p>
        </w:tc>
        <w:tc>
          <w:tcPr>
            <w:tcW w:w="2153" w:type="dxa"/>
            <w:tcBorders>
              <w:top w:val="single" w:color="auto" w:sz="4" w:space="0"/>
              <w:left w:val="single" w:color="auto" w:sz="4" w:space="0"/>
              <w:bottom w:val="single" w:color="auto" w:sz="4" w:space="0"/>
              <w:right w:val="single" w:color="auto" w:sz="4" w:space="0"/>
            </w:tcBorders>
            <w:vAlign w:val="center"/>
          </w:tcPr>
          <w:p w14:paraId="5E997F1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37377711.67</w:t>
            </w:r>
          </w:p>
        </w:tc>
        <w:tc>
          <w:tcPr>
            <w:tcW w:w="841" w:type="dxa"/>
            <w:tcBorders>
              <w:top w:val="single" w:color="auto" w:sz="4" w:space="0"/>
              <w:left w:val="single" w:color="auto" w:sz="4" w:space="0"/>
              <w:bottom w:val="single" w:color="auto" w:sz="4" w:space="0"/>
              <w:right w:val="single" w:color="auto" w:sz="4" w:space="0"/>
            </w:tcBorders>
            <w:vAlign w:val="center"/>
          </w:tcPr>
          <w:p w14:paraId="5D0F835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19</w:t>
            </w:r>
          </w:p>
        </w:tc>
        <w:tc>
          <w:tcPr>
            <w:tcW w:w="1859" w:type="dxa"/>
            <w:tcBorders>
              <w:top w:val="single" w:color="auto" w:sz="4" w:space="0"/>
              <w:left w:val="single" w:color="auto" w:sz="4" w:space="0"/>
              <w:bottom w:val="single" w:color="auto" w:sz="4" w:space="0"/>
              <w:right w:val="single" w:color="auto" w:sz="4" w:space="0"/>
            </w:tcBorders>
            <w:vAlign w:val="center"/>
          </w:tcPr>
          <w:p w14:paraId="4805C81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2342515.88</w:t>
            </w:r>
          </w:p>
        </w:tc>
        <w:tc>
          <w:tcPr>
            <w:tcW w:w="1995" w:type="dxa"/>
            <w:tcBorders>
              <w:top w:val="single" w:color="auto" w:sz="4" w:space="0"/>
              <w:left w:val="single" w:color="auto" w:sz="4" w:space="0"/>
              <w:bottom w:val="single" w:color="auto" w:sz="4" w:space="0"/>
              <w:right w:val="single" w:color="auto" w:sz="4" w:space="0"/>
            </w:tcBorders>
            <w:vAlign w:val="center"/>
          </w:tcPr>
          <w:p w14:paraId="3B6B426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37377150.02</w:t>
            </w:r>
          </w:p>
        </w:tc>
      </w:tr>
      <w:tr w14:paraId="23A463D8">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09D26DC2">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9</w:t>
            </w:r>
          </w:p>
        </w:tc>
        <w:tc>
          <w:tcPr>
            <w:tcW w:w="1808" w:type="dxa"/>
            <w:tcBorders>
              <w:top w:val="single" w:color="auto" w:sz="4" w:space="0"/>
              <w:left w:val="single" w:color="auto" w:sz="4" w:space="0"/>
              <w:bottom w:val="single" w:color="auto" w:sz="4" w:space="0"/>
              <w:right w:val="single" w:color="auto" w:sz="4" w:space="0"/>
            </w:tcBorders>
            <w:vAlign w:val="center"/>
          </w:tcPr>
          <w:p w14:paraId="692BA21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2342909.40</w:t>
            </w:r>
          </w:p>
        </w:tc>
        <w:tc>
          <w:tcPr>
            <w:tcW w:w="2153" w:type="dxa"/>
            <w:tcBorders>
              <w:top w:val="single" w:color="auto" w:sz="4" w:space="0"/>
              <w:left w:val="single" w:color="auto" w:sz="4" w:space="0"/>
              <w:bottom w:val="single" w:color="auto" w:sz="4" w:space="0"/>
              <w:right w:val="single" w:color="auto" w:sz="4" w:space="0"/>
            </w:tcBorders>
            <w:vAlign w:val="center"/>
          </w:tcPr>
          <w:p w14:paraId="057BDE5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37377717.82</w:t>
            </w:r>
          </w:p>
        </w:tc>
        <w:tc>
          <w:tcPr>
            <w:tcW w:w="841" w:type="dxa"/>
            <w:tcBorders>
              <w:top w:val="single" w:color="auto" w:sz="4" w:space="0"/>
              <w:left w:val="single" w:color="auto" w:sz="4" w:space="0"/>
              <w:bottom w:val="single" w:color="auto" w:sz="4" w:space="0"/>
              <w:right w:val="single" w:color="auto" w:sz="4" w:space="0"/>
            </w:tcBorders>
            <w:vAlign w:val="center"/>
          </w:tcPr>
          <w:p w14:paraId="1F2F39A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20</w:t>
            </w:r>
          </w:p>
        </w:tc>
        <w:tc>
          <w:tcPr>
            <w:tcW w:w="1859" w:type="dxa"/>
            <w:tcBorders>
              <w:top w:val="single" w:color="auto" w:sz="4" w:space="0"/>
              <w:left w:val="single" w:color="auto" w:sz="4" w:space="0"/>
              <w:bottom w:val="single" w:color="auto" w:sz="4" w:space="0"/>
              <w:right w:val="single" w:color="auto" w:sz="4" w:space="0"/>
            </w:tcBorders>
            <w:vAlign w:val="center"/>
          </w:tcPr>
          <w:p w14:paraId="111584D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2342506.26</w:t>
            </w:r>
          </w:p>
        </w:tc>
        <w:tc>
          <w:tcPr>
            <w:tcW w:w="1995" w:type="dxa"/>
            <w:tcBorders>
              <w:top w:val="single" w:color="auto" w:sz="4" w:space="0"/>
              <w:left w:val="single" w:color="auto" w:sz="4" w:space="0"/>
              <w:bottom w:val="single" w:color="auto" w:sz="4" w:space="0"/>
              <w:right w:val="single" w:color="auto" w:sz="4" w:space="0"/>
            </w:tcBorders>
            <w:vAlign w:val="center"/>
          </w:tcPr>
          <w:p w14:paraId="7B67477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37377084.48</w:t>
            </w:r>
          </w:p>
        </w:tc>
      </w:tr>
      <w:tr w14:paraId="210C321F">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6E228B1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10</w:t>
            </w:r>
          </w:p>
        </w:tc>
        <w:tc>
          <w:tcPr>
            <w:tcW w:w="1808" w:type="dxa"/>
            <w:tcBorders>
              <w:top w:val="single" w:color="auto" w:sz="4" w:space="0"/>
              <w:left w:val="single" w:color="auto" w:sz="4" w:space="0"/>
              <w:bottom w:val="single" w:color="auto" w:sz="4" w:space="0"/>
              <w:right w:val="single" w:color="auto" w:sz="4" w:space="0"/>
            </w:tcBorders>
            <w:vAlign w:val="center"/>
          </w:tcPr>
          <w:p w14:paraId="56CC630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2342761.07</w:t>
            </w:r>
          </w:p>
        </w:tc>
        <w:tc>
          <w:tcPr>
            <w:tcW w:w="2153" w:type="dxa"/>
            <w:tcBorders>
              <w:top w:val="single" w:color="auto" w:sz="4" w:space="0"/>
              <w:left w:val="single" w:color="auto" w:sz="4" w:space="0"/>
              <w:bottom w:val="single" w:color="auto" w:sz="4" w:space="0"/>
              <w:right w:val="single" w:color="auto" w:sz="4" w:space="0"/>
            </w:tcBorders>
            <w:vAlign w:val="center"/>
          </w:tcPr>
          <w:p w14:paraId="3BC32BA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37377888.61</w:t>
            </w:r>
          </w:p>
        </w:tc>
        <w:tc>
          <w:tcPr>
            <w:tcW w:w="841" w:type="dxa"/>
            <w:tcBorders>
              <w:top w:val="single" w:color="auto" w:sz="4" w:space="0"/>
              <w:left w:val="single" w:color="auto" w:sz="4" w:space="0"/>
              <w:bottom w:val="single" w:color="auto" w:sz="4" w:space="0"/>
              <w:right w:val="single" w:color="auto" w:sz="4" w:space="0"/>
            </w:tcBorders>
            <w:vAlign w:val="center"/>
          </w:tcPr>
          <w:p w14:paraId="6F2E918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21</w:t>
            </w:r>
          </w:p>
        </w:tc>
        <w:tc>
          <w:tcPr>
            <w:tcW w:w="1859" w:type="dxa"/>
            <w:tcBorders>
              <w:top w:val="single" w:color="auto" w:sz="4" w:space="0"/>
              <w:left w:val="single" w:color="auto" w:sz="4" w:space="0"/>
              <w:bottom w:val="single" w:color="auto" w:sz="4" w:space="0"/>
              <w:right w:val="single" w:color="auto" w:sz="4" w:space="0"/>
            </w:tcBorders>
            <w:vAlign w:val="center"/>
          </w:tcPr>
          <w:p w14:paraId="6BFFC210">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2342535.39</w:t>
            </w:r>
          </w:p>
        </w:tc>
        <w:tc>
          <w:tcPr>
            <w:tcW w:w="1995" w:type="dxa"/>
            <w:tcBorders>
              <w:top w:val="single" w:color="auto" w:sz="4" w:space="0"/>
              <w:left w:val="single" w:color="auto" w:sz="4" w:space="0"/>
              <w:bottom w:val="single" w:color="auto" w:sz="4" w:space="0"/>
              <w:right w:val="single" w:color="auto" w:sz="4" w:space="0"/>
            </w:tcBorders>
            <w:vAlign w:val="center"/>
          </w:tcPr>
          <w:p w14:paraId="300E36D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37377072.46</w:t>
            </w:r>
          </w:p>
        </w:tc>
      </w:tr>
      <w:tr w14:paraId="054A852B">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vAlign w:val="center"/>
          </w:tcPr>
          <w:p w14:paraId="58A6FD2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11</w:t>
            </w:r>
          </w:p>
        </w:tc>
        <w:tc>
          <w:tcPr>
            <w:tcW w:w="1808" w:type="dxa"/>
            <w:tcBorders>
              <w:top w:val="single" w:color="auto" w:sz="4" w:space="0"/>
              <w:left w:val="single" w:color="auto" w:sz="4" w:space="0"/>
              <w:bottom w:val="single" w:color="auto" w:sz="4" w:space="0"/>
              <w:right w:val="single" w:color="auto" w:sz="4" w:space="0"/>
            </w:tcBorders>
            <w:vAlign w:val="center"/>
          </w:tcPr>
          <w:p w14:paraId="048AEBC9">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2342689.51</w:t>
            </w:r>
          </w:p>
        </w:tc>
        <w:tc>
          <w:tcPr>
            <w:tcW w:w="2153" w:type="dxa"/>
            <w:tcBorders>
              <w:top w:val="single" w:color="auto" w:sz="4" w:space="0"/>
              <w:left w:val="single" w:color="auto" w:sz="4" w:space="0"/>
              <w:bottom w:val="single" w:color="auto" w:sz="4" w:space="0"/>
              <w:right w:val="single" w:color="auto" w:sz="4" w:space="0"/>
            </w:tcBorders>
            <w:vAlign w:val="center"/>
          </w:tcPr>
          <w:p w14:paraId="7A9A594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37377880.52</w:t>
            </w:r>
          </w:p>
        </w:tc>
        <w:tc>
          <w:tcPr>
            <w:tcW w:w="841" w:type="dxa"/>
            <w:tcBorders>
              <w:top w:val="single" w:color="auto" w:sz="4" w:space="0"/>
              <w:left w:val="single" w:color="auto" w:sz="4" w:space="0"/>
              <w:bottom w:val="single" w:color="auto" w:sz="4" w:space="0"/>
              <w:right w:val="single" w:color="auto" w:sz="4" w:space="0"/>
            </w:tcBorders>
            <w:vAlign w:val="center"/>
          </w:tcPr>
          <w:p w14:paraId="6B9C99C4">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22</w:t>
            </w:r>
          </w:p>
        </w:tc>
        <w:tc>
          <w:tcPr>
            <w:tcW w:w="1859" w:type="dxa"/>
            <w:tcBorders>
              <w:top w:val="single" w:color="auto" w:sz="4" w:space="0"/>
              <w:left w:val="single" w:color="auto" w:sz="4" w:space="0"/>
              <w:bottom w:val="single" w:color="auto" w:sz="4" w:space="0"/>
              <w:right w:val="single" w:color="auto" w:sz="4" w:space="0"/>
            </w:tcBorders>
            <w:vAlign w:val="center"/>
          </w:tcPr>
          <w:p w14:paraId="4D60431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2342605.90</w:t>
            </w:r>
          </w:p>
        </w:tc>
        <w:tc>
          <w:tcPr>
            <w:tcW w:w="1995" w:type="dxa"/>
            <w:tcBorders>
              <w:top w:val="single" w:color="auto" w:sz="4" w:space="0"/>
              <w:left w:val="single" w:color="auto" w:sz="4" w:space="0"/>
              <w:bottom w:val="single" w:color="auto" w:sz="4" w:space="0"/>
              <w:right w:val="single" w:color="auto" w:sz="4" w:space="0"/>
            </w:tcBorders>
            <w:vAlign w:val="center"/>
          </w:tcPr>
          <w:p w14:paraId="39F7D48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37377034.88</w:t>
            </w:r>
          </w:p>
        </w:tc>
      </w:tr>
    </w:tbl>
    <w:p w14:paraId="4F89FE11">
      <w:pPr>
        <w:pStyle w:val="3"/>
        <w:keepNext w:val="0"/>
        <w:keepLines w:val="0"/>
        <w:numPr>
          <w:ilvl w:val="0"/>
          <w:numId w:val="0"/>
        </w:numPr>
        <w:kinsoku/>
        <w:topLinePunct/>
        <w:autoSpaceDE/>
        <w:autoSpaceDN/>
        <w:adjustRightInd/>
        <w:snapToGrid/>
        <w:spacing w:line="570" w:lineRule="exact"/>
        <w:ind w:left="640" w:leftChars="0"/>
        <w:rPr>
          <w:rFonts w:hint="default" w:ascii="黑体" w:hAnsi="黑体" w:eastAsia="黑体" w:cs="黑体"/>
          <w:b w:val="0"/>
          <w:color w:val="auto"/>
          <w:kern w:val="10"/>
          <w:sz w:val="32"/>
          <w:szCs w:val="32"/>
          <w:lang w:val="en-US" w:eastAsia="zh-CN"/>
        </w:rPr>
      </w:pPr>
      <w:r>
        <w:rPr>
          <w:rFonts w:hint="eastAsia" w:ascii="黑体" w:hAnsi="黑体" w:eastAsia="黑体" w:cs="黑体"/>
          <w:b w:val="0"/>
          <w:color w:val="auto"/>
          <w:kern w:val="10"/>
          <w:sz w:val="32"/>
          <w:szCs w:val="32"/>
          <w:lang w:val="en-US" w:eastAsia="zh-CN"/>
        </w:rPr>
        <w:t>二</w:t>
      </w:r>
      <w:r>
        <w:rPr>
          <w:rFonts w:hint="eastAsia" w:ascii="黑体" w:hAnsi="黑体" w:eastAsia="黑体" w:cs="黑体"/>
          <w:b w:val="0"/>
          <w:color w:val="auto"/>
          <w:kern w:val="10"/>
          <w:sz w:val="32"/>
          <w:szCs w:val="32"/>
          <w:lang w:eastAsia="zh-CN"/>
        </w:rPr>
        <w:t xml:space="preserve"> </w:t>
      </w:r>
      <w:bookmarkStart w:id="1" w:name="_Toc15933"/>
      <w:r>
        <w:rPr>
          <w:rFonts w:hint="eastAsia" w:ascii="黑体" w:hAnsi="黑体" w:eastAsia="黑体" w:cs="黑体"/>
          <w:b w:val="0"/>
          <w:color w:val="auto"/>
          <w:kern w:val="10"/>
          <w:sz w:val="32"/>
          <w:szCs w:val="32"/>
          <w:lang w:eastAsia="zh-CN"/>
        </w:rPr>
        <w:t>拟出让矿区资源储量情况及拟出让年限</w:t>
      </w:r>
      <w:bookmarkEnd w:id="1"/>
    </w:p>
    <w:p w14:paraId="73AA62D6">
      <w:pPr>
        <w:widowControl w:val="0"/>
        <w:numPr>
          <w:ilvl w:val="0"/>
          <w:numId w:val="0"/>
        </w:numPr>
        <w:kinsoku/>
        <w:wordWrap w:val="0"/>
        <w:topLinePunct/>
        <w:autoSpaceDE/>
        <w:autoSpaceDN/>
        <w:spacing w:line="570" w:lineRule="exact"/>
        <w:ind w:firstLine="640" w:firstLineChars="200"/>
        <w:jc w:val="both"/>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bCs/>
          <w:color w:val="auto"/>
          <w:kern w:val="32"/>
          <w:sz w:val="32"/>
          <w:szCs w:val="32"/>
          <w:lang w:val="en-US" w:eastAsia="zh-CN"/>
        </w:rPr>
        <w:t>1.</w:t>
      </w:r>
      <w:r>
        <w:rPr>
          <w:rFonts w:hint="eastAsia" w:ascii="仿宋_GB2312" w:hAnsi="仿宋_GB2312" w:eastAsia="仿宋_GB2312" w:cs="仿宋_GB2312"/>
          <w:bCs/>
          <w:color w:val="auto"/>
          <w:kern w:val="32"/>
          <w:sz w:val="32"/>
          <w:szCs w:val="32"/>
          <w:lang w:eastAsia="zh-CN"/>
        </w:rPr>
        <w:t>矿区范围内保有的矿产资源储量：</w:t>
      </w:r>
      <w:r>
        <w:rPr>
          <w:rFonts w:hint="eastAsia" w:ascii="仿宋_GB2312" w:hAnsi="仿宋_GB2312" w:eastAsia="仿宋_GB2312" w:cs="仿宋_GB2312"/>
          <w:bCs/>
          <w:color w:val="auto"/>
          <w:kern w:val="32"/>
          <w:sz w:val="32"/>
          <w:szCs w:val="32"/>
          <w:lang w:val="en-US" w:eastAsia="zh-CN"/>
        </w:rPr>
        <w:t>根据《</w:t>
      </w:r>
      <w:r>
        <w:rPr>
          <w:rFonts w:hint="eastAsia" w:ascii="仿宋_GB2312" w:hAnsi="仿宋_GB2312" w:eastAsia="仿宋_GB2312" w:cs="仿宋_GB2312"/>
          <w:color w:val="auto"/>
          <w:kern w:val="32"/>
          <w:sz w:val="32"/>
          <w:szCs w:val="32"/>
          <w:lang w:eastAsia="zh-CN"/>
        </w:rPr>
        <w:t>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w:t>
      </w:r>
      <w:r>
        <w:rPr>
          <w:rFonts w:hint="eastAsia" w:ascii="仿宋_GB2312" w:hAnsi="仿宋_GB2312" w:eastAsia="仿宋_GB2312" w:cs="仿宋_GB2312"/>
          <w:color w:val="auto"/>
          <w:kern w:val="32"/>
          <w:sz w:val="32"/>
          <w:szCs w:val="32"/>
          <w:lang w:val="en-US" w:eastAsia="zh-CN"/>
        </w:rPr>
        <w:t>资源储量核实报告</w:t>
      </w:r>
      <w:r>
        <w:rPr>
          <w:rFonts w:hint="eastAsia" w:ascii="仿宋_GB2312" w:hAnsi="仿宋_GB2312" w:eastAsia="仿宋_GB2312" w:cs="仿宋_GB2312"/>
          <w:bCs/>
          <w:color w:val="auto"/>
          <w:kern w:val="32"/>
          <w:sz w:val="32"/>
          <w:szCs w:val="32"/>
          <w:lang w:val="en-US" w:eastAsia="zh-CN"/>
        </w:rPr>
        <w:t>矿产资源储量评审意见书》（粤资储评审字[2025]91号），截止2025年5月31日，</w:t>
      </w:r>
      <w:r>
        <w:rPr>
          <w:rFonts w:hint="eastAsia" w:ascii="仿宋_GB2312" w:hAnsi="仿宋_GB2312" w:eastAsia="仿宋_GB2312" w:cs="仿宋_GB2312"/>
          <w:color w:val="auto"/>
          <w:kern w:val="32"/>
          <w:sz w:val="32"/>
          <w:szCs w:val="32"/>
          <w:lang w:eastAsia="zh-CN"/>
        </w:rPr>
        <w:t>矿区范围内累计查明</w:t>
      </w:r>
      <w:r>
        <w:rPr>
          <w:rFonts w:hint="eastAsia" w:ascii="仿宋_GB2312" w:hAnsi="仿宋_GB2312" w:eastAsia="仿宋_GB2312" w:cs="仿宋_GB2312"/>
          <w:color w:val="auto"/>
          <w:kern w:val="32"/>
          <w:sz w:val="32"/>
          <w:szCs w:val="32"/>
          <w:lang w:val="en-US" w:eastAsia="zh-CN"/>
        </w:rPr>
        <w:t>建筑用</w:t>
      </w:r>
      <w:r>
        <w:rPr>
          <w:rFonts w:hint="eastAsia" w:ascii="仿宋_GB2312" w:hAnsi="仿宋_GB2312" w:eastAsia="仿宋_GB2312" w:cs="仿宋_GB2312"/>
          <w:color w:val="auto"/>
          <w:kern w:val="32"/>
          <w:sz w:val="32"/>
          <w:szCs w:val="32"/>
          <w:lang w:eastAsia="zh-CN"/>
        </w:rPr>
        <w:t>砂矿控制资源量矿石量</w:t>
      </w:r>
      <w:r>
        <w:rPr>
          <w:rFonts w:hint="eastAsia" w:ascii="仿宋_GB2312" w:hAnsi="仿宋_GB2312" w:eastAsia="仿宋_GB2312" w:cs="仿宋_GB2312"/>
          <w:color w:val="auto"/>
          <w:kern w:val="32"/>
          <w:sz w:val="32"/>
          <w:szCs w:val="32"/>
          <w:lang w:val="en-US" w:eastAsia="zh-CN"/>
        </w:rPr>
        <w:t>66.70</w:t>
      </w:r>
      <w:r>
        <w:rPr>
          <w:rFonts w:hint="eastAsia" w:ascii="仿宋_GB2312" w:hAnsi="仿宋_GB2312" w:eastAsia="仿宋_GB2312" w:cs="仿宋_GB2312"/>
          <w:bCs/>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砂量53.07万立方米，平均含砂率79.57%；</w:t>
      </w:r>
      <w:r>
        <w:rPr>
          <w:rFonts w:hint="eastAsia" w:ascii="仿宋_GB2312" w:hAnsi="仿宋_GB2312" w:eastAsia="仿宋_GB2312" w:cs="仿宋_GB2312"/>
          <w:bCs/>
          <w:color w:val="auto"/>
          <w:spacing w:val="11"/>
          <w:kern w:val="32"/>
          <w:sz w:val="32"/>
          <w:szCs w:val="32"/>
          <w:lang w:eastAsia="zh-CN"/>
        </w:rPr>
        <w:t>推断资源量矿</w:t>
      </w:r>
      <w:r>
        <w:rPr>
          <w:rFonts w:hint="eastAsia" w:ascii="仿宋_GB2312" w:hAnsi="仿宋_GB2312" w:eastAsia="仿宋_GB2312" w:cs="仿宋_GB2312"/>
          <w:color w:val="auto"/>
          <w:spacing w:val="11"/>
          <w:kern w:val="32"/>
          <w:sz w:val="32"/>
          <w:szCs w:val="32"/>
          <w:lang w:eastAsia="zh-CN"/>
        </w:rPr>
        <w:t>石量</w:t>
      </w:r>
      <w:r>
        <w:rPr>
          <w:rFonts w:hint="eastAsia" w:ascii="仿宋_GB2312" w:hAnsi="仿宋_GB2312" w:eastAsia="仿宋_GB2312" w:cs="仿宋_GB2312"/>
          <w:bCs/>
          <w:color w:val="auto"/>
          <w:spacing w:val="11"/>
          <w:kern w:val="32"/>
          <w:sz w:val="32"/>
          <w:szCs w:val="32"/>
          <w:lang w:val="en-US" w:eastAsia="zh-CN"/>
        </w:rPr>
        <w:t>50.70</w:t>
      </w:r>
      <w:r>
        <w:rPr>
          <w:rFonts w:hint="eastAsia" w:ascii="仿宋_GB2312" w:hAnsi="仿宋_GB2312" w:eastAsia="仿宋_GB2312" w:cs="仿宋_GB2312"/>
          <w:bCs/>
          <w:color w:val="auto"/>
          <w:spacing w:val="11"/>
          <w:kern w:val="32"/>
          <w:sz w:val="32"/>
          <w:szCs w:val="32"/>
          <w:lang w:eastAsia="zh-CN"/>
        </w:rPr>
        <w:t>万</w:t>
      </w:r>
      <w:r>
        <w:rPr>
          <w:rFonts w:hint="eastAsia" w:ascii="仿宋_GB2312" w:hAnsi="仿宋_GB2312" w:eastAsia="仿宋_GB2312" w:cs="仿宋_GB2312"/>
          <w:bCs/>
          <w:color w:val="auto"/>
          <w:spacing w:val="11"/>
          <w:kern w:val="32"/>
          <w:sz w:val="32"/>
          <w:szCs w:val="32"/>
          <w:lang w:val="en-US" w:eastAsia="zh-CN"/>
        </w:rPr>
        <w:t>立方米</w:t>
      </w:r>
      <w:r>
        <w:rPr>
          <w:rFonts w:hint="eastAsia" w:ascii="仿宋_GB2312" w:hAnsi="仿宋_GB2312" w:eastAsia="仿宋_GB2312" w:cs="仿宋_GB2312"/>
          <w:bCs/>
          <w:color w:val="auto"/>
          <w:spacing w:val="11"/>
          <w:kern w:val="32"/>
          <w:sz w:val="32"/>
          <w:szCs w:val="32"/>
          <w:lang w:eastAsia="zh-CN"/>
        </w:rPr>
        <w:t>，</w:t>
      </w:r>
      <w:r>
        <w:rPr>
          <w:rFonts w:hint="eastAsia" w:ascii="仿宋_GB2312" w:hAnsi="仿宋_GB2312" w:eastAsia="仿宋_GB2312" w:cs="仿宋_GB2312"/>
          <w:bCs/>
          <w:color w:val="auto"/>
          <w:spacing w:val="11"/>
          <w:kern w:val="32"/>
          <w:sz w:val="32"/>
          <w:szCs w:val="32"/>
          <w:lang w:val="en-US" w:eastAsia="zh-CN"/>
        </w:rPr>
        <w:t>砂量41.01万立方米</w:t>
      </w:r>
      <w:r>
        <w:rPr>
          <w:rFonts w:hint="eastAsia" w:ascii="仿宋_GB2312" w:hAnsi="仿宋_GB2312" w:eastAsia="仿宋_GB2312" w:cs="仿宋_GB2312"/>
          <w:bCs/>
          <w:color w:val="auto"/>
          <w:spacing w:val="11"/>
          <w:kern w:val="32"/>
          <w:sz w:val="32"/>
          <w:szCs w:val="32"/>
          <w:lang w:eastAsia="zh-CN"/>
        </w:rPr>
        <w:t>，</w:t>
      </w:r>
      <w:r>
        <w:rPr>
          <w:rFonts w:hint="eastAsia" w:ascii="仿宋_GB2312" w:hAnsi="仿宋_GB2312" w:eastAsia="仿宋_GB2312" w:cs="仿宋_GB2312"/>
          <w:bCs/>
          <w:color w:val="auto"/>
          <w:spacing w:val="11"/>
          <w:kern w:val="32"/>
          <w:sz w:val="32"/>
          <w:szCs w:val="32"/>
          <w:lang w:val="en-US" w:eastAsia="zh-CN"/>
        </w:rPr>
        <w:t>平均含砂率</w:t>
      </w:r>
      <w:r>
        <w:rPr>
          <w:rFonts w:hint="eastAsia" w:ascii="仿宋_GB2312" w:hAnsi="仿宋_GB2312" w:eastAsia="仿宋_GB2312" w:cs="仿宋_GB2312"/>
          <w:bCs/>
          <w:color w:val="auto"/>
          <w:kern w:val="32"/>
          <w:sz w:val="32"/>
          <w:szCs w:val="32"/>
          <w:lang w:val="en-US" w:eastAsia="zh-CN"/>
        </w:rPr>
        <w:t>80.88%；矿床平均含砂率80.14%。</w:t>
      </w:r>
    </w:p>
    <w:p w14:paraId="61CA61D0">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jc w:val="both"/>
        <w:textAlignment w:val="baseline"/>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bCs/>
          <w:color w:val="auto"/>
          <w:kern w:val="32"/>
          <w:sz w:val="32"/>
          <w:szCs w:val="32"/>
          <w:lang w:val="en-US" w:eastAsia="zh-CN"/>
        </w:rPr>
        <w:t>覆盖层67.39万立方米（上部覆盖层66.76万立方米、夹石0.63万立方米）</w:t>
      </w:r>
      <w:r>
        <w:rPr>
          <w:rFonts w:hint="eastAsia" w:ascii="仿宋_GB2312" w:hAnsi="仿宋_GB2312" w:eastAsia="仿宋_GB2312" w:cs="仿宋_GB2312"/>
          <w:bCs/>
          <w:color w:val="auto"/>
          <w:kern w:val="32"/>
          <w:sz w:val="32"/>
          <w:szCs w:val="32"/>
          <w:lang w:eastAsia="zh-CN"/>
        </w:rPr>
        <w:t>，剥采比为</w:t>
      </w:r>
      <w:r>
        <w:rPr>
          <w:rFonts w:hint="eastAsia" w:ascii="仿宋_GB2312" w:hAnsi="仿宋_GB2312" w:eastAsia="仿宋_GB2312" w:cs="仿宋_GB2312"/>
          <w:bCs/>
          <w:color w:val="auto"/>
          <w:kern w:val="32"/>
          <w:sz w:val="32"/>
          <w:szCs w:val="32"/>
          <w:lang w:val="en-US" w:eastAsia="zh-CN"/>
        </w:rPr>
        <w:t>0.57</w:t>
      </w:r>
      <w:r>
        <w:rPr>
          <w:rFonts w:hint="eastAsia" w:ascii="仿宋_GB2312" w:hAnsi="仿宋_GB2312" w:eastAsia="仿宋_GB2312" w:cs="仿宋_GB2312"/>
          <w:bCs/>
          <w:color w:val="auto"/>
          <w:kern w:val="32"/>
          <w:sz w:val="32"/>
          <w:szCs w:val="32"/>
          <w:lang w:eastAsia="zh-CN"/>
        </w:rPr>
        <w:t>:1。</w:t>
      </w:r>
    </w:p>
    <w:p w14:paraId="46EB1E50">
      <w:pPr>
        <w:widowControl w:val="0"/>
        <w:numPr>
          <w:ilvl w:val="0"/>
          <w:numId w:val="0"/>
        </w:numPr>
        <w:kinsoku/>
        <w:wordWrap w:val="0"/>
        <w:topLinePunct/>
        <w:autoSpaceDE/>
        <w:autoSpaceDN/>
        <w:spacing w:line="570" w:lineRule="exact"/>
        <w:ind w:firstLine="640" w:firstLineChars="200"/>
        <w:jc w:val="both"/>
        <w:rPr>
          <w:rFonts w:ascii="仿宋_GB2312" w:hAnsi="仿宋_GB2312" w:eastAsia="仿宋_GB2312" w:cs="仿宋_GB2312"/>
          <w:color w:val="E54C5E" w:themeColor="accent6"/>
          <w:kern w:val="32"/>
          <w:sz w:val="32"/>
          <w:szCs w:val="32"/>
          <w:lang w:eastAsia="zh-CN"/>
          <w14:textFill>
            <w14:solidFill>
              <w14:schemeClr w14:val="accent6"/>
            </w14:solidFill>
          </w14:textFill>
        </w:rPr>
      </w:pPr>
      <w:r>
        <w:rPr>
          <w:rFonts w:hint="eastAsia" w:ascii="仿宋_GB2312" w:hAnsi="仿宋_GB2312" w:eastAsia="仿宋_GB2312" w:cs="仿宋_GB2312"/>
          <w:bCs/>
          <w:color w:val="auto"/>
          <w:kern w:val="32"/>
          <w:sz w:val="32"/>
          <w:szCs w:val="32"/>
          <w:lang w:val="en-US" w:eastAsia="zh-CN"/>
        </w:rPr>
        <w:t>2.</w:t>
      </w:r>
      <w:r>
        <w:rPr>
          <w:rFonts w:hint="eastAsia" w:ascii="仿宋_GB2312" w:hAnsi="仿宋_GB2312" w:eastAsia="仿宋_GB2312" w:cs="仿宋_GB2312"/>
          <w:bCs/>
          <w:color w:val="auto"/>
          <w:kern w:val="32"/>
          <w:sz w:val="32"/>
          <w:szCs w:val="32"/>
          <w:lang w:eastAsia="zh-CN"/>
        </w:rPr>
        <w:t>设计利用的矿产资源储量：</w:t>
      </w:r>
      <w:r>
        <w:rPr>
          <w:rFonts w:hint="eastAsia" w:ascii="仿宋_GB2312" w:hAnsi="仿宋_GB2312" w:eastAsia="仿宋_GB2312" w:cs="仿宋_GB2312"/>
          <w:color w:val="auto"/>
          <w:kern w:val="32"/>
          <w:sz w:val="32"/>
          <w:szCs w:val="32"/>
          <w:lang w:eastAsia="zh-CN"/>
        </w:rPr>
        <w:t>根据《〈广东省遂溪县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矿矿产资源开发利用方案〉审查意见书》（湛矿开审字[202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号），本矿区内控制和推断资源量可信度系数取1.0，设计利用的</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矿石量</w:t>
      </w:r>
      <w:r>
        <w:rPr>
          <w:rFonts w:hint="eastAsia" w:ascii="仿宋_GB2312" w:hAnsi="仿宋_GB2312" w:eastAsia="仿宋_GB2312" w:cs="仿宋_GB2312"/>
          <w:color w:val="auto"/>
          <w:kern w:val="32"/>
          <w:sz w:val="32"/>
          <w:szCs w:val="32"/>
          <w:lang w:val="en-US" w:eastAsia="zh-CN"/>
        </w:rPr>
        <w:t>117.40</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平均含砂率（体积比）80.14%，砂量94.08万立方米。</w:t>
      </w:r>
    </w:p>
    <w:p w14:paraId="4537AA57">
      <w:pPr>
        <w:widowControl w:val="0"/>
        <w:numPr>
          <w:ilvl w:val="0"/>
          <w:numId w:val="0"/>
        </w:numPr>
        <w:kinsoku/>
        <w:wordWrap w:val="0"/>
        <w:topLinePunct/>
        <w:autoSpaceDE/>
        <w:autoSpaceDN/>
        <w:spacing w:line="570" w:lineRule="exact"/>
        <w:ind w:firstLine="640"/>
        <w:jc w:val="both"/>
        <w:rPr>
          <w:rFonts w:hint="eastAsia" w:ascii="仿宋_GB2312" w:hAnsi="仿宋_GB2312" w:eastAsia="仿宋_GB2312" w:cs="仿宋_GB2312"/>
          <w:bCs/>
          <w:color w:val="auto"/>
          <w:kern w:val="32"/>
          <w:sz w:val="32"/>
          <w:szCs w:val="32"/>
          <w:lang w:val="en-US" w:eastAsia="zh-CN"/>
        </w:rPr>
      </w:pPr>
      <w:r>
        <w:rPr>
          <w:rFonts w:hint="eastAsia" w:ascii="仿宋_GB2312" w:hAnsi="仿宋_GB2312" w:eastAsia="仿宋_GB2312" w:cs="仿宋_GB2312"/>
          <w:bCs/>
          <w:color w:val="auto"/>
          <w:kern w:val="32"/>
          <w:sz w:val="32"/>
          <w:szCs w:val="32"/>
          <w:lang w:val="en-US" w:eastAsia="zh-CN"/>
        </w:rPr>
        <w:t>矿区内剥离量67.39万立方米，其中上部覆盖层66.76万立方米、夹石0.63万立方米。</w:t>
      </w:r>
    </w:p>
    <w:p w14:paraId="2AE1B316">
      <w:pPr>
        <w:keepNext w:val="0"/>
        <w:keepLines w:val="0"/>
        <w:pageBreakBefore w:val="0"/>
        <w:widowControl w:val="0"/>
        <w:numPr>
          <w:ilvl w:val="0"/>
          <w:numId w:val="0"/>
        </w:numPr>
        <w:kinsoku/>
        <w:wordWrap w:val="0"/>
        <w:overflowPunct/>
        <w:topLinePunct/>
        <w:autoSpaceDE/>
        <w:autoSpaceDN/>
        <w:bidi w:val="0"/>
        <w:spacing w:line="560" w:lineRule="exact"/>
        <w:ind w:leftChars="0" w:firstLine="640" w:firstLineChars="200"/>
        <w:jc w:val="both"/>
        <w:rPr>
          <w:rFonts w:hint="eastAsia" w:ascii="仿宋_GB2312" w:hAnsi="仿宋_GB2312" w:eastAsia="仿宋_GB2312" w:cs="仿宋_GB2312"/>
          <w:bCs/>
          <w:color w:val="auto"/>
          <w:kern w:val="32"/>
          <w:sz w:val="32"/>
          <w:szCs w:val="32"/>
          <w:lang w:val="en-US" w:eastAsia="zh-CN"/>
        </w:rPr>
      </w:pPr>
      <w:r>
        <w:rPr>
          <w:rFonts w:hint="eastAsia" w:ascii="仿宋_GB2312" w:hAnsi="仿宋_GB2312" w:eastAsia="仿宋_GB2312" w:cs="仿宋_GB2312"/>
          <w:bCs/>
          <w:color w:val="auto"/>
          <w:kern w:val="32"/>
          <w:sz w:val="32"/>
          <w:szCs w:val="32"/>
          <w:lang w:val="en-US" w:eastAsia="zh-CN"/>
        </w:rPr>
        <w:t>3.拟动用的矿产资源量：按台阶开采圈定终了境界后，最终矿区开采境界范围内：拟动用的建筑用砂矿石量109.76万立方米，平均含砂率（体积比）80.14%，砂量87.96万立方米；拟动用的总剥离量64.76</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立方米（可用于矿山自身复垦绿化用土，也可外运用于周边市政园林绿化客土，或大型基建工程场地平整用土）。</w:t>
      </w:r>
    </w:p>
    <w:p w14:paraId="05E6E907">
      <w:pPr>
        <w:keepNext w:val="0"/>
        <w:keepLines w:val="0"/>
        <w:pageBreakBefore w:val="0"/>
        <w:widowControl w:val="0"/>
        <w:numPr>
          <w:ilvl w:val="0"/>
          <w:numId w:val="0"/>
        </w:numPr>
        <w:kinsoku/>
        <w:wordWrap w:val="0"/>
        <w:overflowPunct/>
        <w:topLinePunct/>
        <w:autoSpaceDE/>
        <w:autoSpaceDN/>
        <w:bidi w:val="0"/>
        <w:spacing w:line="560" w:lineRule="exact"/>
        <w:ind w:leftChars="0" w:firstLine="640" w:firstLineChars="200"/>
        <w:jc w:val="both"/>
        <w:rPr>
          <w:rFonts w:hint="eastAsia" w:ascii="仿宋_GB2312" w:hAnsi="仿宋_GB2312" w:eastAsia="仿宋_GB2312" w:cs="仿宋_GB2312"/>
          <w:bCs/>
          <w:color w:val="auto"/>
          <w:kern w:val="32"/>
          <w:sz w:val="32"/>
          <w:szCs w:val="32"/>
          <w:lang w:eastAsia="zh-CN"/>
        </w:rPr>
      </w:pPr>
      <w:r>
        <w:rPr>
          <w:rFonts w:hint="eastAsia" w:ascii="仿宋_GB2312" w:hAnsi="仿宋_GB2312" w:eastAsia="仿宋_GB2312" w:cs="仿宋_GB2312"/>
          <w:bCs/>
          <w:color w:val="auto"/>
          <w:kern w:val="32"/>
          <w:sz w:val="32"/>
          <w:szCs w:val="32"/>
          <w:lang w:val="en-US" w:eastAsia="zh-CN"/>
        </w:rPr>
        <w:t>4.</w:t>
      </w:r>
      <w:r>
        <w:rPr>
          <w:rFonts w:hint="eastAsia" w:ascii="仿宋_GB2312" w:hAnsi="仿宋_GB2312" w:eastAsia="仿宋_GB2312" w:cs="仿宋_GB2312"/>
          <w:bCs/>
          <w:color w:val="auto"/>
          <w:kern w:val="32"/>
          <w:sz w:val="32"/>
          <w:szCs w:val="32"/>
          <w:lang w:eastAsia="zh-CN"/>
        </w:rPr>
        <w:t>按可比条件，</w:t>
      </w:r>
      <w:r>
        <w:rPr>
          <w:rFonts w:hint="eastAsia" w:ascii="仿宋_GB2312" w:hAnsi="仿宋_GB2312" w:eastAsia="仿宋_GB2312" w:cs="仿宋_GB2312"/>
          <w:bCs/>
          <w:color w:val="auto"/>
          <w:kern w:val="32"/>
          <w:sz w:val="32"/>
          <w:szCs w:val="32"/>
          <w:lang w:val="en-US" w:eastAsia="zh-CN"/>
        </w:rPr>
        <w:t>建筑用砂</w:t>
      </w:r>
      <w:r>
        <w:rPr>
          <w:rFonts w:hint="eastAsia" w:ascii="仿宋_GB2312" w:hAnsi="仿宋_GB2312" w:eastAsia="仿宋_GB2312" w:cs="仿宋_GB2312"/>
          <w:bCs/>
          <w:color w:val="auto"/>
          <w:kern w:val="32"/>
          <w:sz w:val="32"/>
          <w:szCs w:val="32"/>
          <w:lang w:eastAsia="zh-CN"/>
        </w:rPr>
        <w:t>设计资源利用率</w:t>
      </w:r>
      <w:r>
        <w:rPr>
          <w:rFonts w:hint="eastAsia" w:ascii="仿宋_GB2312" w:hAnsi="仿宋_GB2312" w:eastAsia="仿宋_GB2312" w:cs="仿宋_GB2312"/>
          <w:bCs/>
          <w:color w:val="auto"/>
          <w:kern w:val="32"/>
          <w:sz w:val="32"/>
          <w:szCs w:val="32"/>
          <w:lang w:val="en-US" w:eastAsia="zh-CN"/>
        </w:rPr>
        <w:t>93.5</w:t>
      </w:r>
      <w:r>
        <w:rPr>
          <w:rFonts w:hint="eastAsia" w:ascii="仿宋_GB2312" w:hAnsi="仿宋_GB2312" w:eastAsia="仿宋_GB2312" w:cs="仿宋_GB2312"/>
          <w:bCs/>
          <w:color w:val="auto"/>
          <w:kern w:val="32"/>
          <w:sz w:val="32"/>
          <w:szCs w:val="32"/>
          <w:lang w:eastAsia="zh-CN"/>
        </w:rPr>
        <w:t>%。</w:t>
      </w:r>
    </w:p>
    <w:p w14:paraId="1A307296">
      <w:pPr>
        <w:keepNext w:val="0"/>
        <w:keepLines w:val="0"/>
        <w:pageBreakBefore w:val="0"/>
        <w:widowControl w:val="0"/>
        <w:numPr>
          <w:ilvl w:val="0"/>
          <w:numId w:val="0"/>
        </w:numPr>
        <w:kinsoku/>
        <w:wordWrap w:val="0"/>
        <w:overflowPunct/>
        <w:topLinePunct/>
        <w:autoSpaceDE/>
        <w:autoSpaceDN/>
        <w:bidi w:val="0"/>
        <w:spacing w:line="560" w:lineRule="exact"/>
        <w:ind w:leftChars="0" w:firstLine="640" w:firstLineChars="200"/>
        <w:jc w:val="both"/>
        <w:rPr>
          <w:rFonts w:hint="eastAsia" w:ascii="仿宋_GB2312" w:hAnsi="仿宋_GB2312" w:eastAsia="仿宋_GB2312" w:cs="仿宋_GB2312"/>
          <w:bCs/>
          <w:color w:val="auto"/>
          <w:spacing w:val="-6"/>
          <w:kern w:val="32"/>
          <w:sz w:val="32"/>
          <w:szCs w:val="32"/>
          <w:lang w:val="en-US" w:eastAsia="zh-CN"/>
        </w:rPr>
      </w:pP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spacing w:val="-6"/>
          <w:kern w:val="32"/>
          <w:sz w:val="32"/>
          <w:szCs w:val="32"/>
          <w:lang w:eastAsia="zh-CN"/>
        </w:rPr>
        <w:t>根据《</w:t>
      </w:r>
      <w:r>
        <w:rPr>
          <w:rFonts w:hint="eastAsia" w:ascii="仿宋_GB2312" w:hAnsi="仿宋_GB2312" w:eastAsia="仿宋_GB2312" w:cs="仿宋_GB2312"/>
          <w:color w:val="auto"/>
          <w:spacing w:val="-6"/>
          <w:kern w:val="32"/>
          <w:sz w:val="32"/>
          <w:szCs w:val="32"/>
          <w:lang w:val="en-US" w:eastAsia="zh-CN"/>
        </w:rPr>
        <w:t>&lt;</w:t>
      </w:r>
      <w:r>
        <w:rPr>
          <w:rFonts w:hint="eastAsia" w:ascii="仿宋_GB2312" w:hAnsi="仿宋_GB2312" w:eastAsia="仿宋_GB2312" w:cs="仿宋_GB2312"/>
          <w:color w:val="auto"/>
          <w:spacing w:val="-6"/>
          <w:kern w:val="32"/>
          <w:sz w:val="32"/>
          <w:szCs w:val="32"/>
          <w:lang w:eastAsia="zh-CN"/>
        </w:rPr>
        <w:t>广东省遂溪县</w:t>
      </w:r>
      <w:r>
        <w:rPr>
          <w:rFonts w:hint="eastAsia" w:ascii="仿宋_GB2312" w:hAnsi="仿宋_GB2312" w:eastAsia="仿宋_GB2312" w:cs="仿宋_GB2312"/>
          <w:color w:val="auto"/>
          <w:spacing w:val="-6"/>
          <w:kern w:val="32"/>
          <w:sz w:val="32"/>
          <w:szCs w:val="32"/>
          <w:lang w:val="en-US" w:eastAsia="zh-CN"/>
        </w:rPr>
        <w:t>港门</w:t>
      </w:r>
      <w:r>
        <w:rPr>
          <w:rFonts w:hint="eastAsia" w:ascii="仿宋_GB2312" w:hAnsi="仿宋_GB2312" w:eastAsia="仿宋_GB2312" w:cs="仿宋_GB2312"/>
          <w:color w:val="auto"/>
          <w:spacing w:val="-6"/>
          <w:kern w:val="32"/>
          <w:sz w:val="32"/>
          <w:szCs w:val="32"/>
          <w:lang w:eastAsia="zh-CN"/>
        </w:rPr>
        <w:t>镇</w:t>
      </w:r>
      <w:r>
        <w:rPr>
          <w:rFonts w:hint="eastAsia" w:ascii="仿宋_GB2312" w:hAnsi="仿宋_GB2312" w:eastAsia="仿宋_GB2312" w:cs="仿宋_GB2312"/>
          <w:color w:val="auto"/>
          <w:spacing w:val="-6"/>
          <w:kern w:val="32"/>
          <w:sz w:val="32"/>
          <w:szCs w:val="32"/>
          <w:lang w:val="en-US" w:eastAsia="zh-CN"/>
        </w:rPr>
        <w:t>北地村</w:t>
      </w:r>
      <w:r>
        <w:rPr>
          <w:rFonts w:hint="eastAsia" w:ascii="仿宋_GB2312" w:hAnsi="仿宋_GB2312" w:eastAsia="仿宋_GB2312" w:cs="仿宋_GB2312"/>
          <w:color w:val="auto"/>
          <w:spacing w:val="-6"/>
          <w:kern w:val="32"/>
          <w:sz w:val="32"/>
          <w:szCs w:val="32"/>
          <w:lang w:eastAsia="zh-CN"/>
        </w:rPr>
        <w:t>矿区</w:t>
      </w:r>
      <w:r>
        <w:rPr>
          <w:rFonts w:hint="eastAsia" w:ascii="仿宋_GB2312" w:hAnsi="仿宋_GB2312" w:eastAsia="仿宋_GB2312" w:cs="仿宋_GB2312"/>
          <w:color w:val="auto"/>
          <w:spacing w:val="-6"/>
          <w:kern w:val="32"/>
          <w:sz w:val="32"/>
          <w:szCs w:val="32"/>
          <w:lang w:val="en-US" w:eastAsia="zh-CN"/>
        </w:rPr>
        <w:t>建筑用砂</w:t>
      </w:r>
      <w:r>
        <w:rPr>
          <w:rFonts w:hint="eastAsia" w:ascii="仿宋_GB2312" w:hAnsi="仿宋_GB2312" w:eastAsia="仿宋_GB2312" w:cs="仿宋_GB2312"/>
          <w:color w:val="auto"/>
          <w:spacing w:val="-6"/>
          <w:kern w:val="32"/>
          <w:sz w:val="32"/>
          <w:szCs w:val="32"/>
          <w:lang w:eastAsia="zh-CN"/>
        </w:rPr>
        <w:t>矿矿产资源开发利用方案</w:t>
      </w:r>
      <w:r>
        <w:rPr>
          <w:rFonts w:hint="eastAsia" w:ascii="仿宋_GB2312" w:hAnsi="仿宋_GB2312" w:eastAsia="仿宋_GB2312" w:cs="仿宋_GB2312"/>
          <w:color w:val="auto"/>
          <w:spacing w:val="-6"/>
          <w:kern w:val="32"/>
          <w:sz w:val="32"/>
          <w:szCs w:val="32"/>
          <w:lang w:val="en-US" w:eastAsia="zh-CN"/>
        </w:rPr>
        <w:t>&gt;</w:t>
      </w:r>
      <w:r>
        <w:rPr>
          <w:rFonts w:hint="eastAsia" w:ascii="仿宋_GB2312" w:hAnsi="仿宋_GB2312" w:eastAsia="仿宋_GB2312" w:cs="仿宋_GB2312"/>
          <w:color w:val="auto"/>
          <w:spacing w:val="-6"/>
          <w:kern w:val="32"/>
          <w:sz w:val="32"/>
          <w:szCs w:val="32"/>
          <w:lang w:eastAsia="zh-CN"/>
        </w:rPr>
        <w:t>审查意见书》（湛矿开审字[202</w:t>
      </w:r>
      <w:r>
        <w:rPr>
          <w:rFonts w:hint="eastAsia" w:ascii="仿宋_GB2312" w:hAnsi="仿宋_GB2312" w:eastAsia="仿宋_GB2312" w:cs="仿宋_GB2312"/>
          <w:color w:val="auto"/>
          <w:spacing w:val="-6"/>
          <w:kern w:val="32"/>
          <w:sz w:val="32"/>
          <w:szCs w:val="32"/>
          <w:lang w:val="en-US" w:eastAsia="zh-CN"/>
        </w:rPr>
        <w:t>5</w:t>
      </w:r>
      <w:r>
        <w:rPr>
          <w:rFonts w:hint="eastAsia" w:ascii="仿宋_GB2312" w:hAnsi="仿宋_GB2312" w:eastAsia="仿宋_GB2312" w:cs="仿宋_GB2312"/>
          <w:color w:val="auto"/>
          <w:spacing w:val="-6"/>
          <w:kern w:val="32"/>
          <w:sz w:val="32"/>
          <w:szCs w:val="32"/>
          <w:lang w:eastAsia="zh-CN"/>
        </w:rPr>
        <w:t>]</w:t>
      </w:r>
      <w:r>
        <w:rPr>
          <w:rFonts w:hint="eastAsia" w:ascii="仿宋_GB2312" w:hAnsi="仿宋_GB2312" w:eastAsia="仿宋_GB2312" w:cs="仿宋_GB2312"/>
          <w:color w:val="auto"/>
          <w:spacing w:val="-6"/>
          <w:kern w:val="32"/>
          <w:sz w:val="32"/>
          <w:szCs w:val="32"/>
          <w:lang w:val="en-US" w:eastAsia="zh-CN"/>
        </w:rPr>
        <w:t>6</w:t>
      </w:r>
      <w:r>
        <w:rPr>
          <w:rFonts w:hint="eastAsia" w:ascii="仿宋_GB2312" w:hAnsi="仿宋_GB2312" w:eastAsia="仿宋_GB2312" w:cs="仿宋_GB2312"/>
          <w:color w:val="auto"/>
          <w:spacing w:val="-6"/>
          <w:kern w:val="32"/>
          <w:sz w:val="32"/>
          <w:szCs w:val="32"/>
          <w:lang w:eastAsia="zh-CN"/>
        </w:rPr>
        <w:t>号），</w:t>
      </w:r>
      <w:r>
        <w:rPr>
          <w:rFonts w:hint="eastAsia" w:ascii="仿宋_GB2312" w:hAnsi="仿宋_GB2312" w:eastAsia="仿宋_GB2312" w:cs="仿宋_GB2312"/>
          <w:color w:val="auto"/>
          <w:spacing w:val="-6"/>
          <w:kern w:val="32"/>
          <w:sz w:val="32"/>
          <w:szCs w:val="32"/>
          <w:lang w:val="en-US" w:eastAsia="zh-CN"/>
        </w:rPr>
        <w:t>可采储量及采出矿石量确定：可采储量矿石量106.47</w:t>
      </w:r>
      <w:r>
        <w:rPr>
          <w:rFonts w:hint="eastAsia" w:ascii="仿宋_GB2312" w:hAnsi="仿宋_GB2312" w:eastAsia="仿宋_GB2312" w:cs="仿宋_GB2312"/>
          <w:bCs/>
          <w:color w:val="auto"/>
          <w:spacing w:val="-6"/>
          <w:kern w:val="32"/>
          <w:sz w:val="32"/>
          <w:szCs w:val="32"/>
          <w:lang w:val="en-US" w:eastAsia="zh-CN"/>
        </w:rPr>
        <w:t>万立方米，平均含砂率（体积比）80.14%，砂量85.33万立方米；采出矿石量109.76万立方米，平均含砂率（体积比）80.14%，砂量87.96万立方米。</w:t>
      </w:r>
    </w:p>
    <w:p w14:paraId="08F4F2F4">
      <w:pPr>
        <w:pStyle w:val="2"/>
        <w:keepNext w:val="0"/>
        <w:keepLines w:val="0"/>
        <w:pageBreakBefore w:val="0"/>
        <w:overflowPunct/>
        <w:bidi w:val="0"/>
        <w:spacing w:line="560" w:lineRule="exact"/>
        <w:ind w:leftChars="0"/>
        <w:jc w:val="both"/>
        <w:rPr>
          <w:rFonts w:hint="default"/>
          <w:lang w:val="en-US" w:eastAsia="zh-CN"/>
        </w:rPr>
      </w:pPr>
      <w:r>
        <w:rPr>
          <w:rFonts w:hint="eastAsia" w:ascii="仿宋_GB2312" w:hAnsi="仿宋_GB2312" w:eastAsia="仿宋_GB2312" w:cs="仿宋_GB2312"/>
          <w:bCs/>
          <w:color w:val="auto"/>
          <w:kern w:val="32"/>
          <w:sz w:val="32"/>
          <w:szCs w:val="32"/>
          <w:lang w:val="en-US" w:eastAsia="zh-CN"/>
        </w:rPr>
        <w:t xml:space="preserve">    6.根据《广东省遂溪县港门镇北地村矿区建筑用砂矿采矿权出让收益评估报告》（兴地矿评报字﹝2025﹞第097号），建筑用砂评估利用可采储量为</w:t>
      </w:r>
      <w:r>
        <w:rPr>
          <w:rFonts w:hint="eastAsia" w:ascii="仿宋_GB2312" w:hAnsi="仿宋_GB2312" w:eastAsia="仿宋_GB2312" w:cs="仿宋_GB2312"/>
          <w:color w:val="auto"/>
          <w:spacing w:val="-17"/>
          <w:kern w:val="32"/>
          <w:sz w:val="32"/>
          <w:szCs w:val="32"/>
          <w:lang w:val="en-US" w:eastAsia="zh-CN"/>
        </w:rPr>
        <w:t>106.47</w:t>
      </w:r>
      <w:r>
        <w:rPr>
          <w:rFonts w:hint="eastAsia" w:ascii="仿宋_GB2312" w:hAnsi="仿宋_GB2312" w:eastAsia="仿宋_GB2312" w:cs="仿宋_GB2312"/>
          <w:bCs/>
          <w:color w:val="auto"/>
          <w:spacing w:val="-17"/>
          <w:kern w:val="32"/>
          <w:sz w:val="32"/>
          <w:szCs w:val="32"/>
          <w:lang w:val="en-US" w:eastAsia="zh-CN"/>
        </w:rPr>
        <w:t>万立方米，剥离层可利用量为61.86万立方米。</w:t>
      </w:r>
    </w:p>
    <w:p w14:paraId="624E730C">
      <w:pPr>
        <w:keepNext w:val="0"/>
        <w:keepLines w:val="0"/>
        <w:pageBreakBefore w:val="0"/>
        <w:widowControl w:val="0"/>
        <w:numPr>
          <w:ilvl w:val="0"/>
          <w:numId w:val="0"/>
        </w:numPr>
        <w:kinsoku/>
        <w:wordWrap w:val="0"/>
        <w:overflowPunct/>
        <w:topLinePunct/>
        <w:autoSpaceDE/>
        <w:autoSpaceDN/>
        <w:bidi w:val="0"/>
        <w:spacing w:line="560" w:lineRule="exact"/>
        <w:ind w:leftChars="0" w:firstLine="640" w:firstLineChars="200"/>
        <w:jc w:val="both"/>
        <w:rPr>
          <w:color w:val="auto"/>
          <w:lang w:eastAsia="zh-CN"/>
        </w:rPr>
      </w:pPr>
      <w:r>
        <w:rPr>
          <w:rStyle w:val="7"/>
          <w:rFonts w:hint="eastAsia" w:ascii="仿宋_GB2312" w:hAnsi="仿宋_GB2312" w:eastAsia="仿宋_GB2312" w:cs="仿宋_GB2312"/>
          <w:b w:val="0"/>
          <w:color w:val="auto"/>
          <w:kern w:val="32"/>
          <w:sz w:val="32"/>
          <w:szCs w:val="32"/>
          <w:lang w:val="en-US" w:eastAsia="zh-CN"/>
        </w:rPr>
        <w:t>7.</w:t>
      </w:r>
      <w:r>
        <w:rPr>
          <w:rStyle w:val="7"/>
          <w:rFonts w:hint="default" w:ascii="仿宋_GB2312" w:hAnsi="仿宋_GB2312" w:eastAsia="仿宋_GB2312" w:cs="仿宋_GB2312"/>
          <w:b w:val="0"/>
          <w:color w:val="auto"/>
          <w:kern w:val="32"/>
          <w:sz w:val="32"/>
          <w:szCs w:val="32"/>
          <w:lang w:eastAsia="zh-CN"/>
        </w:rPr>
        <w:t>矿山生产拟设规模</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color w:val="auto"/>
          <w:kern w:val="32"/>
          <w:sz w:val="32"/>
          <w:szCs w:val="32"/>
          <w:lang w:val="en-US" w:eastAsia="zh-CN"/>
        </w:rPr>
        <w:t>立方米</w:t>
      </w:r>
      <w:r>
        <w:rPr>
          <w:rFonts w:hint="eastAsia" w:ascii="仿宋_GB2312" w:hAnsi="仿宋_GB2312" w:eastAsia="仿宋_GB2312" w:cs="仿宋_GB2312"/>
          <w:color w:val="auto"/>
          <w:kern w:val="32"/>
          <w:sz w:val="32"/>
          <w:szCs w:val="32"/>
          <w:lang w:eastAsia="zh-CN"/>
        </w:rPr>
        <w:t>/年。</w:t>
      </w:r>
    </w:p>
    <w:p w14:paraId="68F02106">
      <w:pPr>
        <w:keepNext w:val="0"/>
        <w:keepLines w:val="0"/>
        <w:pageBreakBefore w:val="0"/>
        <w:widowControl w:val="0"/>
        <w:numPr>
          <w:ilvl w:val="0"/>
          <w:numId w:val="0"/>
        </w:numPr>
        <w:kinsoku/>
        <w:wordWrap w:val="0"/>
        <w:overflowPunct/>
        <w:topLinePunct/>
        <w:autoSpaceDE/>
        <w:autoSpaceDN/>
        <w:bidi w:val="0"/>
        <w:spacing w:line="560" w:lineRule="exact"/>
        <w:ind w:leftChars="0" w:firstLine="640" w:firstLineChars="200"/>
        <w:jc w:val="both"/>
        <w:rPr>
          <w:color w:val="auto"/>
          <w:lang w:eastAsia="zh-CN"/>
        </w:rPr>
      </w:pP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eastAsia="zh-CN"/>
        </w:rPr>
        <w:t>采矿权出让总服务年限：</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年（含基建期和闭坑治理期各</w:t>
      </w:r>
      <w:r>
        <w:rPr>
          <w:rFonts w:hint="eastAsia" w:ascii="仿宋_GB2312" w:hAnsi="仿宋_GB2312" w:eastAsia="仿宋_GB2312" w:cs="仿宋_GB2312"/>
          <w:color w:val="auto"/>
          <w:kern w:val="32"/>
          <w:sz w:val="32"/>
          <w:szCs w:val="32"/>
          <w:lang w:val="en-US" w:eastAsia="zh-CN"/>
        </w:rPr>
        <w:t>0.5</w:t>
      </w:r>
      <w:r>
        <w:rPr>
          <w:rFonts w:hint="eastAsia" w:ascii="仿宋_GB2312" w:hAnsi="仿宋_GB2312" w:eastAsia="仿宋_GB2312" w:cs="仿宋_GB2312"/>
          <w:color w:val="auto"/>
          <w:kern w:val="32"/>
          <w:sz w:val="32"/>
          <w:szCs w:val="32"/>
          <w:lang w:eastAsia="zh-CN"/>
        </w:rPr>
        <w:t>年）。</w:t>
      </w:r>
    </w:p>
    <w:p w14:paraId="7B5C65F7">
      <w:pPr>
        <w:pStyle w:val="3"/>
        <w:keepNext w:val="0"/>
        <w:keepLines w:val="0"/>
        <w:pageBreakBefore w:val="0"/>
        <w:widowControl w:val="0"/>
        <w:numPr>
          <w:ilvl w:val="0"/>
          <w:numId w:val="0"/>
        </w:numPr>
        <w:kinsoku/>
        <w:overflowPunct/>
        <w:topLinePunct/>
        <w:autoSpaceDE/>
        <w:autoSpaceDN/>
        <w:bidi w:val="0"/>
        <w:adjustRightInd/>
        <w:snapToGrid/>
        <w:spacing w:line="560" w:lineRule="exact"/>
        <w:ind w:left="641" w:leftChars="0"/>
        <w:jc w:val="both"/>
        <w:rPr>
          <w:rFonts w:ascii="Times New Roman" w:hAnsi="Times New Roman" w:eastAsia="黑体" w:cs="Times New Roman"/>
          <w:b w:val="0"/>
          <w:color w:val="auto"/>
          <w:kern w:val="10"/>
          <w:sz w:val="32"/>
          <w:szCs w:val="32"/>
          <w:lang w:eastAsia="zh-CN"/>
        </w:rPr>
      </w:pPr>
      <w:bookmarkStart w:id="2" w:name="_Toc832"/>
      <w:r>
        <w:rPr>
          <w:rFonts w:hint="eastAsia" w:ascii="Times New Roman" w:hAnsi="黑体" w:eastAsia="黑体" w:cs="Times New Roman"/>
          <w:b w:val="0"/>
          <w:color w:val="auto"/>
          <w:kern w:val="10"/>
          <w:sz w:val="32"/>
          <w:szCs w:val="32"/>
          <w:lang w:val="en-US" w:eastAsia="zh-CN"/>
        </w:rPr>
        <w:t>三、</w:t>
      </w:r>
      <w:r>
        <w:rPr>
          <w:rFonts w:ascii="Times New Roman" w:hAnsi="黑体" w:eastAsia="黑体" w:cs="Times New Roman"/>
          <w:b w:val="0"/>
          <w:color w:val="auto"/>
          <w:kern w:val="10"/>
          <w:sz w:val="32"/>
          <w:szCs w:val="32"/>
          <w:lang w:eastAsia="zh-CN"/>
        </w:rPr>
        <w:t>拟出让矿区矿产资源开发利用情况</w:t>
      </w:r>
      <w:bookmarkEnd w:id="2"/>
    </w:p>
    <w:p w14:paraId="012BB645">
      <w:pPr>
        <w:keepNext w:val="0"/>
        <w:keepLines w:val="0"/>
        <w:pageBreakBefore w:val="0"/>
        <w:wordWrap w:val="0"/>
        <w:overflowPunct/>
        <w:topLinePunct/>
        <w:bidi w:val="0"/>
        <w:spacing w:line="560" w:lineRule="exact"/>
        <w:ind w:leftChars="0" w:firstLine="627" w:firstLineChars="196"/>
        <w:jc w:val="both"/>
        <w:rPr>
          <w:rFonts w:ascii="仿宋_GB2312" w:hAnsi="仿宋_GB2312" w:eastAsia="仿宋_GB2312" w:cs="仿宋_GB2312"/>
          <w:kern w:val="32"/>
          <w:sz w:val="32"/>
          <w:szCs w:val="32"/>
          <w:lang w:eastAsia="zh-CN"/>
        </w:rPr>
      </w:pPr>
      <w:bookmarkStart w:id="3" w:name="_Toc9744"/>
      <w:r>
        <w:rPr>
          <w:rFonts w:hint="eastAsia" w:ascii="仿宋_GB2312" w:hAnsi="仿宋_GB2312" w:eastAsia="仿宋_GB2312" w:cs="仿宋_GB2312"/>
          <w:kern w:val="32"/>
          <w:sz w:val="32"/>
          <w:szCs w:val="32"/>
          <w:lang w:eastAsia="zh-CN"/>
        </w:rPr>
        <w:t>本矿山为新建矿山，以往未设置过矿业权。根据现场调查，在矿区范围内，未发现有采矿活动。</w:t>
      </w:r>
    </w:p>
    <w:bookmarkEnd w:id="3"/>
    <w:p w14:paraId="40046BB1">
      <w:pPr>
        <w:pStyle w:val="3"/>
        <w:keepNext w:val="0"/>
        <w:keepLines w:val="0"/>
        <w:pageBreakBefore w:val="0"/>
        <w:widowControl w:val="0"/>
        <w:numPr>
          <w:ilvl w:val="0"/>
          <w:numId w:val="0"/>
        </w:numPr>
        <w:kinsoku/>
        <w:overflowPunct/>
        <w:topLinePunct/>
        <w:autoSpaceDE/>
        <w:autoSpaceDN/>
        <w:bidi w:val="0"/>
        <w:adjustRightInd/>
        <w:snapToGrid/>
        <w:spacing w:line="560" w:lineRule="exact"/>
        <w:ind w:firstLine="640" w:firstLineChars="200"/>
        <w:jc w:val="both"/>
        <w:rPr>
          <w:rFonts w:ascii="Times New Roman" w:hAnsi="Times New Roman" w:eastAsia="宋体" w:cs="Times New Roman"/>
          <w:bCs/>
          <w:color w:val="000000" w:themeColor="text1"/>
          <w:sz w:val="39"/>
          <w:szCs w:val="39"/>
          <w:lang w:eastAsia="zh-CN"/>
          <w14:textFill>
            <w14:solidFill>
              <w14:schemeClr w14:val="tx1"/>
            </w14:solidFill>
          </w14:textFill>
        </w:rPr>
      </w:pPr>
      <w:r>
        <w:rPr>
          <w:rFonts w:hint="eastAsia" w:ascii="Times New Roman" w:hAnsi="黑体" w:eastAsia="黑体" w:cs="Times New Roman"/>
          <w:b w:val="0"/>
          <w:color w:val="auto"/>
          <w:kern w:val="10"/>
          <w:sz w:val="32"/>
          <w:szCs w:val="32"/>
          <w:lang w:val="en-US" w:eastAsia="zh-CN"/>
        </w:rPr>
        <w:t>四、</w:t>
      </w:r>
      <w:r>
        <w:rPr>
          <w:rFonts w:hint="eastAsia" w:ascii="Times New Roman" w:hAnsi="黑体" w:eastAsia="黑体" w:cs="Times New Roman"/>
          <w:b w:val="0"/>
          <w:color w:val="auto"/>
          <w:kern w:val="10"/>
          <w:sz w:val="32"/>
          <w:szCs w:val="32"/>
          <w:lang w:eastAsia="zh-CN"/>
        </w:rPr>
        <w:t>开采技术、土地使用、生态环境保护和安全生产及矿地和谐要求</w:t>
      </w:r>
    </w:p>
    <w:p w14:paraId="739B3FBC">
      <w:pPr>
        <w:keepNext w:val="0"/>
        <w:keepLines w:val="0"/>
        <w:pageBreakBefore w:val="0"/>
        <w:numPr>
          <w:ilvl w:val="0"/>
          <w:numId w:val="2"/>
        </w:numPr>
        <w:wordWrap w:val="0"/>
        <w:overflowPunct/>
        <w:topLinePunct/>
        <w:bidi w:val="0"/>
        <w:spacing w:line="560" w:lineRule="exact"/>
        <w:ind w:leftChars="0"/>
        <w:jc w:val="both"/>
        <w:rPr>
          <w:rFonts w:ascii="楷体_GB2312" w:hAnsi="楷体_GB2312" w:eastAsia="楷体_GB2312" w:cs="楷体_GB2312"/>
          <w:kern w:val="32"/>
          <w:sz w:val="32"/>
          <w:szCs w:val="32"/>
          <w:lang w:eastAsia="zh-CN"/>
        </w:rPr>
      </w:pPr>
      <w:r>
        <w:rPr>
          <w:rFonts w:hint="eastAsia" w:ascii="楷体_GB2312" w:hAnsi="楷体_GB2312" w:eastAsia="楷体_GB2312" w:cs="楷体_GB2312"/>
          <w:kern w:val="32"/>
          <w:sz w:val="32"/>
          <w:szCs w:val="32"/>
          <w:lang w:eastAsia="zh-CN"/>
        </w:rPr>
        <w:t xml:space="preserve"> 开采技术条件</w:t>
      </w:r>
    </w:p>
    <w:p w14:paraId="4DB598FB">
      <w:pPr>
        <w:pStyle w:val="2"/>
        <w:keepNext w:val="0"/>
        <w:keepLines w:val="0"/>
        <w:pageBreakBefore w:val="0"/>
        <w:overflowPunct/>
        <w:bidi w:val="0"/>
        <w:spacing w:line="560" w:lineRule="exact"/>
        <w:ind w:leftChars="0"/>
        <w:jc w:val="both"/>
        <w:rPr>
          <w:rFonts w:ascii="仿宋_GB2312" w:hAnsi="仿宋_GB2312" w:eastAsia="仿宋_GB2312" w:cs="仿宋_GB2312"/>
          <w:color w:val="auto"/>
          <w:kern w:val="32"/>
          <w:sz w:val="32"/>
          <w:szCs w:val="32"/>
          <w:lang w:eastAsia="zh-CN"/>
        </w:rPr>
      </w:pPr>
      <w:r>
        <w:rPr>
          <w:rFonts w:hint="eastAsia"/>
          <w:lang w:eastAsia="zh-CN"/>
        </w:rPr>
        <w:t xml:space="preserve">    </w:t>
      </w:r>
      <w:r>
        <w:rPr>
          <w:rFonts w:hint="eastAsia"/>
          <w:color w:val="E54C5E" w:themeColor="accent6"/>
          <w:kern w:val="32"/>
          <w:lang w:eastAsia="zh-CN"/>
          <w14:textFill>
            <w14:solidFill>
              <w14:schemeClr w14:val="accent6"/>
            </w14:solidFill>
          </w14:textFill>
        </w:rPr>
        <w:t xml:space="preserve">  </w:t>
      </w:r>
      <w:r>
        <w:rPr>
          <w:rFonts w:hint="eastAsia" w:ascii="仿宋_GB2312" w:hAnsi="仿宋_GB2312" w:eastAsia="仿宋_GB2312" w:cs="仿宋_GB2312"/>
          <w:color w:val="auto"/>
          <w:kern w:val="32"/>
          <w:sz w:val="32"/>
          <w:szCs w:val="32"/>
          <w:lang w:eastAsia="zh-CN"/>
        </w:rPr>
        <w:t>水文地质条件：</w:t>
      </w:r>
      <w:r>
        <w:rPr>
          <w:rFonts w:hint="eastAsia" w:ascii="仿宋_GB2312" w:hAnsi="仿宋_GB2312" w:eastAsia="仿宋_GB2312" w:cs="仿宋_GB2312"/>
          <w:color w:val="auto"/>
          <w:kern w:val="32"/>
          <w:sz w:val="32"/>
          <w:szCs w:val="32"/>
          <w:lang w:val="en-US" w:eastAsia="zh-CN"/>
        </w:rPr>
        <w:t>矿体为隐伏矿体，地面坡角一般小于5°、较平缓，地形不利于自然排水；矿体赋存标高15.68m～1.42m，部分低于当地侵蚀基准面（2.96m）；矿体主要含水层为四系下更新统湛江组（Q</w:t>
      </w:r>
      <w:r>
        <w:rPr>
          <w:rFonts w:hint="eastAsia" w:ascii="仿宋_GB2312" w:hAnsi="仿宋_GB2312" w:eastAsia="仿宋_GB2312" w:cs="仿宋_GB2312"/>
          <w:i/>
          <w:iCs/>
          <w:color w:val="auto"/>
          <w:kern w:val="32"/>
          <w:sz w:val="32"/>
          <w:szCs w:val="32"/>
          <w:lang w:val="en-US" w:eastAsia="zh-CN"/>
        </w:rPr>
        <w:t>z</w:t>
      </w:r>
      <w:r>
        <w:rPr>
          <w:rFonts w:hint="eastAsia" w:ascii="仿宋_GB2312" w:hAnsi="仿宋_GB2312" w:eastAsia="仿宋_GB2312" w:cs="仿宋_GB2312"/>
          <w:color w:val="auto"/>
          <w:kern w:val="32"/>
          <w:sz w:val="32"/>
          <w:szCs w:val="32"/>
          <w:lang w:val="en-US" w:eastAsia="zh-CN"/>
        </w:rPr>
        <w:t>)、中更新统北海组（Q</w:t>
      </w:r>
      <w:r>
        <w:rPr>
          <w:rFonts w:hint="eastAsia" w:ascii="仿宋_GB2312" w:hAnsi="仿宋_GB2312" w:eastAsia="仿宋_GB2312" w:cs="仿宋_GB2312"/>
          <w:i/>
          <w:iCs/>
          <w:color w:val="auto"/>
          <w:kern w:val="32"/>
          <w:sz w:val="32"/>
          <w:szCs w:val="32"/>
          <w:lang w:val="en-US" w:eastAsia="zh-CN"/>
        </w:rPr>
        <w:t>b</w:t>
      </w:r>
      <w:r>
        <w:rPr>
          <w:rFonts w:hint="eastAsia" w:ascii="仿宋_GB2312" w:hAnsi="仿宋_GB2312" w:eastAsia="仿宋_GB2312" w:cs="仿宋_GB2312"/>
          <w:color w:val="auto"/>
          <w:kern w:val="32"/>
          <w:sz w:val="32"/>
          <w:szCs w:val="32"/>
          <w:lang w:val="en-US" w:eastAsia="zh-CN"/>
        </w:rPr>
        <w:t>）砂岩、粘土孔隙含水层，其中粘土含水层不含水或含水性微弱，属于相对隔水层，砂层富水性中等，主要接受大气降雨补给，因此，</w:t>
      </w:r>
      <w:r>
        <w:rPr>
          <w:rFonts w:hint="eastAsia" w:ascii="仿宋_GB2312" w:hAnsi="仿宋_GB2312" w:eastAsia="仿宋_GB2312" w:cs="仿宋_GB2312"/>
          <w:color w:val="auto"/>
          <w:spacing w:val="-6"/>
          <w:kern w:val="32"/>
          <w:sz w:val="32"/>
          <w:szCs w:val="32"/>
          <w:lang w:val="en-US" w:eastAsia="zh-CN"/>
        </w:rPr>
        <w:t>矿体充水主要来自大气降水，预测未来一般降雨、最大降雨汇水量分别为3905m³/d、190973m³/d，</w:t>
      </w:r>
      <w:r>
        <w:rPr>
          <w:rFonts w:hint="eastAsia" w:ascii="仿宋_GB2312" w:hAnsi="仿宋_GB2312" w:eastAsia="仿宋_GB2312" w:cs="仿宋_GB2312"/>
          <w:color w:val="auto"/>
          <w:kern w:val="32"/>
          <w:sz w:val="32"/>
          <w:szCs w:val="32"/>
          <w:lang w:val="en-US" w:eastAsia="zh-CN"/>
        </w:rPr>
        <w:t>未来开采为凹陷式露天开采，采坑地下水涌水量为6441m³/d，采坑的水不能自然排出，需要设置抽水设备进行排水，但四周修筑截水沟后，采坑汇水将变少，因此，矿区</w:t>
      </w:r>
      <w:r>
        <w:rPr>
          <w:rFonts w:hint="eastAsia" w:ascii="仿宋_GB2312" w:hAnsi="仿宋_GB2312" w:eastAsia="仿宋_GB2312" w:cs="仿宋_GB2312"/>
          <w:color w:val="auto"/>
          <w:kern w:val="32"/>
          <w:sz w:val="32"/>
          <w:szCs w:val="32"/>
          <w:lang w:eastAsia="zh-CN"/>
        </w:rPr>
        <w:t>水文地质</w:t>
      </w:r>
      <w:r>
        <w:rPr>
          <w:rFonts w:hint="eastAsia" w:ascii="仿宋_GB2312" w:hAnsi="仿宋_GB2312" w:eastAsia="仿宋_GB2312" w:cs="仿宋_GB2312"/>
          <w:color w:val="auto"/>
          <w:kern w:val="32"/>
          <w:sz w:val="32"/>
          <w:szCs w:val="32"/>
          <w:lang w:val="en-US" w:eastAsia="zh-CN"/>
        </w:rPr>
        <w:t>勘查复杂程度属第二类型，水文地质条件为中等类型</w:t>
      </w:r>
      <w:r>
        <w:rPr>
          <w:rFonts w:hint="eastAsia" w:ascii="仿宋_GB2312" w:hAnsi="仿宋_GB2312" w:eastAsia="仿宋_GB2312" w:cs="仿宋_GB2312"/>
          <w:color w:val="auto"/>
          <w:kern w:val="32"/>
          <w:sz w:val="32"/>
          <w:szCs w:val="32"/>
          <w:lang w:eastAsia="zh-CN"/>
        </w:rPr>
        <w:t>。</w:t>
      </w:r>
    </w:p>
    <w:p w14:paraId="28182047">
      <w:pPr>
        <w:keepNext w:val="0"/>
        <w:keepLines w:val="0"/>
        <w:pageBreakBefore w:val="0"/>
        <w:kinsoku/>
        <w:overflowPunct/>
        <w:topLinePunct/>
        <w:autoSpaceDE/>
        <w:autoSpaceDN/>
        <w:bidi w:val="0"/>
        <w:adjustRightInd/>
        <w:snapToGrid/>
        <w:spacing w:line="560" w:lineRule="exact"/>
        <w:ind w:firstLine="640" w:firstLineChars="200"/>
        <w:jc w:val="both"/>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工程地质条件：</w:t>
      </w:r>
      <w:r>
        <w:rPr>
          <w:rFonts w:hint="eastAsia" w:ascii="仿宋_GB2312" w:hAnsi="仿宋_GB2312" w:eastAsia="仿宋_GB2312" w:cs="仿宋_GB2312"/>
          <w:color w:val="auto"/>
          <w:kern w:val="32"/>
          <w:sz w:val="32"/>
          <w:szCs w:val="32"/>
          <w:lang w:val="en-US" w:eastAsia="zh-CN"/>
        </w:rPr>
        <w:t>该矿区的矿体为砂、围岩为粘土，砂层、粘土层均为松散类岩土体，稳定性差，且未来开采为凹陷式露天开采，易引发崩塌、滑坡，因此，评价矿区工程地质勘查类型为第一类（松散、软岩类），工程地质条件为</w:t>
      </w:r>
      <w:r>
        <w:rPr>
          <w:rFonts w:hint="eastAsia" w:ascii="仿宋_GB2312" w:hAnsi="仿宋_GB2312" w:eastAsia="仿宋_GB2312" w:cs="仿宋_GB2312"/>
          <w:color w:val="auto"/>
          <w:kern w:val="32"/>
          <w:sz w:val="32"/>
          <w:szCs w:val="32"/>
          <w:lang w:eastAsia="zh-CN"/>
        </w:rPr>
        <w:t>中等</w:t>
      </w:r>
      <w:r>
        <w:rPr>
          <w:rFonts w:hint="eastAsia" w:ascii="仿宋_GB2312" w:hAnsi="仿宋_GB2312" w:eastAsia="仿宋_GB2312" w:cs="仿宋_GB2312"/>
          <w:color w:val="auto"/>
          <w:kern w:val="32"/>
          <w:sz w:val="32"/>
          <w:szCs w:val="32"/>
          <w:lang w:val="en-US" w:eastAsia="zh-CN"/>
        </w:rPr>
        <w:t>类型</w:t>
      </w:r>
      <w:r>
        <w:rPr>
          <w:rFonts w:hint="eastAsia" w:ascii="仿宋_GB2312" w:hAnsi="仿宋_GB2312" w:eastAsia="仿宋_GB2312" w:cs="仿宋_GB2312"/>
          <w:color w:val="auto"/>
          <w:kern w:val="32"/>
          <w:sz w:val="32"/>
          <w:szCs w:val="32"/>
          <w:lang w:eastAsia="zh-CN"/>
        </w:rPr>
        <w:t>。</w:t>
      </w:r>
    </w:p>
    <w:p w14:paraId="4CB8D0F2">
      <w:pPr>
        <w:pStyle w:val="2"/>
        <w:keepNext w:val="0"/>
        <w:keepLines w:val="0"/>
        <w:pageBreakBefore w:val="0"/>
        <w:overflowPunct/>
        <w:bidi w:val="0"/>
        <w:spacing w:line="560" w:lineRule="exact"/>
        <w:ind w:firstLine="640" w:firstLineChars="200"/>
        <w:jc w:val="both"/>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环境地质条件：矿区</w:t>
      </w:r>
      <w:r>
        <w:rPr>
          <w:rFonts w:hint="eastAsia" w:ascii="仿宋_GB2312" w:hAnsi="仿宋_GB2312" w:eastAsia="仿宋_GB2312" w:cs="仿宋_GB2312"/>
          <w:color w:val="auto"/>
          <w:kern w:val="32"/>
          <w:sz w:val="32"/>
          <w:szCs w:val="32"/>
          <w:lang w:val="en-US" w:eastAsia="zh-CN"/>
        </w:rPr>
        <w:t>属于Ⅵ度地震烈度带；矿区远离居民，开采矿石及围岩分别为砂、粘土、不易分解有害组分，对环境无不良影响；岩矿石放射性水平低，不会造成污染；未来凹陷式露天开采，长期抽排地下水，将引发地下水水位下降和地下水含水层疏干，局部可能引发地面崩塌、塌陷地质灾害，而且由于采矿等人类工程活动引发小规模崩塌、滑坡以及开采改变了原有的地形地貌、植被，造成了水土流失，总体来说，矿区地质环境条件为中等类型。</w:t>
      </w:r>
    </w:p>
    <w:p w14:paraId="65D95879">
      <w:pPr>
        <w:pStyle w:val="2"/>
        <w:keepNext w:val="0"/>
        <w:keepLines w:val="0"/>
        <w:pageBreakBefore w:val="0"/>
        <w:overflowPunct/>
        <w:bidi w:val="0"/>
        <w:spacing w:line="560" w:lineRule="exact"/>
        <w:ind w:leftChars="0" w:firstLine="640" w:firstLineChars="200"/>
        <w:jc w:val="both"/>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综上所述，矿床开采技术条件</w:t>
      </w:r>
      <w:r>
        <w:rPr>
          <w:rFonts w:hint="eastAsia" w:ascii="仿宋_GB2312" w:hAnsi="仿宋_GB2312" w:eastAsia="仿宋_GB2312" w:cs="仿宋_GB2312"/>
          <w:color w:val="auto"/>
          <w:kern w:val="32"/>
          <w:sz w:val="32"/>
          <w:szCs w:val="32"/>
          <w:lang w:val="en-US" w:eastAsia="zh-CN"/>
        </w:rPr>
        <w:t>是</w:t>
      </w:r>
      <w:r>
        <w:rPr>
          <w:rFonts w:hint="eastAsia" w:ascii="仿宋_GB2312" w:hAnsi="仿宋_GB2312" w:eastAsia="仿宋_GB2312" w:cs="仿宋_GB2312"/>
          <w:color w:val="auto"/>
          <w:kern w:val="32"/>
          <w:sz w:val="32"/>
          <w:szCs w:val="32"/>
          <w:lang w:eastAsia="zh-CN"/>
        </w:rPr>
        <w:t>属</w:t>
      </w:r>
      <w:r>
        <w:rPr>
          <w:rFonts w:hint="eastAsia" w:ascii="仿宋_GB2312" w:hAnsi="仿宋_GB2312" w:eastAsia="仿宋_GB2312" w:cs="仿宋_GB2312"/>
          <w:color w:val="auto"/>
          <w:kern w:val="32"/>
          <w:sz w:val="32"/>
          <w:szCs w:val="32"/>
          <w:lang w:val="en-US" w:eastAsia="zh-CN"/>
        </w:rPr>
        <w:t>于水文地质、工程地质、环境地质复合问题的中等类型（Ⅱ-4）</w:t>
      </w:r>
      <w:r>
        <w:rPr>
          <w:rFonts w:hint="eastAsia" w:ascii="仿宋_GB2312" w:hAnsi="仿宋_GB2312" w:eastAsia="仿宋_GB2312" w:cs="仿宋_GB2312"/>
          <w:color w:val="auto"/>
          <w:kern w:val="32"/>
          <w:sz w:val="32"/>
          <w:szCs w:val="32"/>
          <w:lang w:eastAsia="zh-CN"/>
        </w:rPr>
        <w:t>。</w:t>
      </w:r>
    </w:p>
    <w:p w14:paraId="4F24AFA4">
      <w:pPr>
        <w:keepNext w:val="0"/>
        <w:keepLines w:val="0"/>
        <w:pageBreakBefore w:val="0"/>
        <w:numPr>
          <w:ilvl w:val="0"/>
          <w:numId w:val="2"/>
        </w:numPr>
        <w:wordWrap w:val="0"/>
        <w:overflowPunct/>
        <w:topLinePunct/>
        <w:bidi w:val="0"/>
        <w:spacing w:line="560" w:lineRule="exact"/>
        <w:ind w:leftChars="0"/>
        <w:jc w:val="both"/>
        <w:rPr>
          <w:rFonts w:ascii="楷体_GB2312" w:hAnsi="楷体_GB2312" w:eastAsia="楷体_GB2312" w:cs="楷体_GB2312"/>
          <w:kern w:val="32"/>
          <w:sz w:val="32"/>
          <w:szCs w:val="32"/>
          <w:lang w:eastAsia="zh-CN"/>
        </w:rPr>
      </w:pPr>
      <w:r>
        <w:rPr>
          <w:rFonts w:hint="eastAsia" w:ascii="楷体_GB2312" w:hAnsi="楷体_GB2312" w:eastAsia="楷体_GB2312" w:cs="楷体_GB2312"/>
          <w:kern w:val="32"/>
          <w:sz w:val="32"/>
          <w:szCs w:val="32"/>
          <w:lang w:eastAsia="zh-CN"/>
        </w:rPr>
        <w:t xml:space="preserve"> 土地使用要求</w:t>
      </w:r>
    </w:p>
    <w:p w14:paraId="44512B91">
      <w:pPr>
        <w:keepNext w:val="0"/>
        <w:keepLines w:val="0"/>
        <w:pageBreakBefore w:val="0"/>
        <w:widowControl w:val="0"/>
        <w:numPr>
          <w:ilvl w:val="0"/>
          <w:numId w:val="0"/>
        </w:numPr>
        <w:kinsoku/>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kern w:val="32"/>
          <w:sz w:val="32"/>
          <w:szCs w:val="32"/>
          <w:lang w:val="en-US" w:eastAsia="zh-CN"/>
        </w:rPr>
        <w:t>1.</w:t>
      </w:r>
      <w:r>
        <w:rPr>
          <w:rFonts w:hint="eastAsia" w:ascii="仿宋_GB2312" w:hAnsi="仿宋_GB2312" w:eastAsia="仿宋_GB2312" w:cs="仿宋_GB2312"/>
          <w:kern w:val="32"/>
          <w:sz w:val="32"/>
          <w:szCs w:val="32"/>
          <w:lang w:eastAsia="zh-CN"/>
        </w:rPr>
        <w:t>采矿权竞得人与</w:t>
      </w:r>
      <w:r>
        <w:rPr>
          <w:rFonts w:hint="eastAsia" w:ascii="仿宋_GB2312" w:hAnsi="仿宋_GB2312" w:eastAsia="仿宋_GB2312" w:cs="仿宋_GB2312"/>
          <w:kern w:val="32"/>
          <w:sz w:val="32"/>
          <w:szCs w:val="32"/>
          <w:lang w:val="en-US" w:eastAsia="zh-CN"/>
        </w:rPr>
        <w:t>土地权属方</w:t>
      </w:r>
      <w:r>
        <w:rPr>
          <w:rFonts w:hint="eastAsia" w:ascii="仿宋_GB2312" w:hAnsi="仿宋_GB2312" w:eastAsia="仿宋_GB2312" w:cs="仿宋_GB2312"/>
          <w:kern w:val="32"/>
          <w:sz w:val="32"/>
          <w:szCs w:val="32"/>
          <w:lang w:eastAsia="zh-CN"/>
        </w:rPr>
        <w:t>签订采矿用地租赁合同时，必须约定由土地使用权人与采矿权竞得人一道依法申请办理采矿用地相关手续。遂溪县自然资源局依法保障采矿用地、用林指标，并依法配合采矿权竞得人办理采矿用地相关手续，产生的一切费用均由采矿权竞得人承担。</w:t>
      </w:r>
      <w:r>
        <w:rPr>
          <w:rFonts w:hint="eastAsia" w:ascii="仿宋_GB2312" w:hAnsi="仿宋_GB2312" w:eastAsia="仿宋_GB2312" w:cs="仿宋_GB2312"/>
          <w:kern w:val="32"/>
          <w:sz w:val="32"/>
          <w:szCs w:val="32"/>
          <w:lang w:val="en-US" w:eastAsia="zh-CN"/>
        </w:rPr>
        <w:t>另外，若采矿权竞得人</w:t>
      </w:r>
      <w:r>
        <w:rPr>
          <w:rFonts w:hint="eastAsia" w:ascii="仿宋_GB2312" w:hAnsi="仿宋_GB2312" w:eastAsia="仿宋_GB2312" w:cs="仿宋_GB2312"/>
          <w:color w:val="auto"/>
          <w:sz w:val="32"/>
          <w:szCs w:val="32"/>
          <w:lang w:eastAsia="zh-CN"/>
        </w:rPr>
        <w:t>在开采区范围</w:t>
      </w:r>
      <w:r>
        <w:rPr>
          <w:rFonts w:hint="eastAsia" w:ascii="仿宋_GB2312" w:hAnsi="仿宋_GB2312" w:eastAsia="仿宋_GB2312" w:cs="仿宋_GB2312"/>
          <w:color w:val="auto"/>
          <w:spacing w:val="-6"/>
          <w:sz w:val="32"/>
          <w:szCs w:val="32"/>
          <w:lang w:eastAsia="zh-CN"/>
        </w:rPr>
        <w:t>以外拟建矿山配套生产设施及修建矿区进出道路（</w:t>
      </w:r>
      <w:r>
        <w:rPr>
          <w:rFonts w:hint="eastAsia" w:ascii="仿宋_GB2312" w:hAnsi="仿宋_GB2312" w:eastAsia="仿宋_GB2312" w:cs="仿宋_GB2312"/>
          <w:color w:val="auto"/>
          <w:spacing w:val="-6"/>
          <w:kern w:val="10"/>
          <w:sz w:val="32"/>
          <w:szCs w:val="32"/>
          <w:lang w:eastAsia="zh-CN"/>
        </w:rPr>
        <w:t>宽度不超过8米</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lang w:eastAsia="zh-CN"/>
        </w:rPr>
        <w:t>等用地，由</w:t>
      </w:r>
      <w:r>
        <w:rPr>
          <w:rFonts w:hint="eastAsia" w:ascii="仿宋_GB2312" w:hAnsi="仿宋_GB2312" w:eastAsia="仿宋_GB2312" w:cs="仿宋_GB2312"/>
          <w:color w:val="auto"/>
          <w:kern w:val="32"/>
          <w:sz w:val="32"/>
          <w:szCs w:val="32"/>
          <w:lang w:eastAsia="zh-CN"/>
        </w:rPr>
        <w:t>竞得人</w:t>
      </w:r>
      <w:r>
        <w:rPr>
          <w:rFonts w:hint="eastAsia" w:ascii="仿宋_GB2312" w:hAnsi="仿宋_GB2312" w:eastAsia="仿宋_GB2312" w:cs="仿宋_GB2312"/>
          <w:color w:val="auto"/>
          <w:sz w:val="32"/>
          <w:szCs w:val="32"/>
          <w:lang w:eastAsia="zh-CN"/>
        </w:rPr>
        <w:t>与土地权属单位协调解决用地问题，</w:t>
      </w:r>
      <w:r>
        <w:rPr>
          <w:rFonts w:hint="eastAsia" w:ascii="仿宋_GB2312" w:hAnsi="仿宋_GB2312" w:eastAsia="仿宋_GB2312" w:cs="仿宋_GB2312"/>
          <w:kern w:val="32"/>
          <w:sz w:val="32"/>
          <w:szCs w:val="32"/>
          <w:lang w:eastAsia="zh-CN"/>
        </w:rPr>
        <w:t>产生的费用均由采矿权竞得人承担</w:t>
      </w:r>
      <w:r>
        <w:rPr>
          <w:rFonts w:hint="eastAsia" w:ascii="仿宋_GB2312" w:hAnsi="仿宋_GB2312" w:eastAsia="仿宋_GB2312" w:cs="仿宋_GB2312"/>
          <w:color w:val="auto"/>
          <w:sz w:val="32"/>
          <w:szCs w:val="32"/>
          <w:lang w:eastAsia="zh-CN"/>
        </w:rPr>
        <w:t>；若采矿权竞得人在开采区范围</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规划生产设施用地必须申请修编矿产资源开发利用方案，因涉本采矿权选址配套生产设施用地或修编矿产资源开发利用方案所产生的费用，均由采矿权竞得人</w:t>
      </w:r>
      <w:r>
        <w:rPr>
          <w:rFonts w:hint="eastAsia" w:ascii="仿宋_GB2312" w:hAnsi="仿宋_GB2312" w:eastAsia="仿宋_GB2312" w:cs="仿宋_GB2312"/>
          <w:color w:val="auto"/>
          <w:sz w:val="32"/>
          <w:szCs w:val="32"/>
          <w:lang w:val="en-US" w:eastAsia="zh-CN"/>
        </w:rPr>
        <w:t>自行</w:t>
      </w:r>
      <w:r>
        <w:rPr>
          <w:rFonts w:hint="eastAsia" w:ascii="仿宋_GB2312" w:hAnsi="仿宋_GB2312" w:eastAsia="仿宋_GB2312" w:cs="仿宋_GB2312"/>
          <w:color w:val="auto"/>
          <w:sz w:val="32"/>
          <w:szCs w:val="32"/>
          <w:lang w:eastAsia="zh-CN"/>
        </w:rPr>
        <w:t>承担。</w:t>
      </w:r>
    </w:p>
    <w:p w14:paraId="6A9F935C">
      <w:pPr>
        <w:pStyle w:val="2"/>
        <w:keepNext w:val="0"/>
        <w:keepLines w:val="0"/>
        <w:pageBreakBefore w:val="0"/>
        <w:overflowPunct/>
        <w:bidi w:val="0"/>
        <w:spacing w:line="560" w:lineRule="exact"/>
        <w:ind w:leftChars="0" w:firstLine="640" w:firstLineChars="200"/>
        <w:jc w:val="both"/>
        <w:rPr>
          <w:rFonts w:hint="eastAsia" w:ascii="仿宋_GB2312" w:hAnsi="仿宋_GB2312" w:eastAsia="仿宋_GB2312" w:cs="仿宋_GB2312"/>
          <w:bCs/>
          <w:snapToGrid w:val="0"/>
          <w:color w:val="auto"/>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Cs/>
          <w:snapToGrid w:val="0"/>
          <w:color w:val="auto"/>
          <w:sz w:val="32"/>
          <w:szCs w:val="32"/>
          <w:lang w:val="en-US" w:eastAsia="zh-CN" w:bidi="ar-SA"/>
        </w:rPr>
        <w:t>广东省遂溪县港门镇北地村矿区建筑用砂矿采矿权矿区范围总面积约165581.45平方米（符合矿产资源总体规划），其中符合国土空间规划属于采矿用地的面积约165580.26平方米，不属于采矿用地的面积约1.19平方米（属于林地，位置位于矿区红线边界的边缘处）。竞得人取得该采矿权后，若在办理相关用地手续时，办理不了不属于采矿用地约1.19平方米面积的报批手续，必须承担放弃开采这部分的风险。</w:t>
      </w:r>
    </w:p>
    <w:p w14:paraId="77807EA6">
      <w:pPr>
        <w:keepNext w:val="0"/>
        <w:keepLines w:val="0"/>
        <w:pageBreakBefore w:val="0"/>
        <w:numPr>
          <w:ilvl w:val="0"/>
          <w:numId w:val="0"/>
        </w:numPr>
        <w:wordWrap w:val="0"/>
        <w:overflowPunct/>
        <w:topLinePunct/>
        <w:bidi w:val="0"/>
        <w:spacing w:line="560" w:lineRule="exact"/>
        <w:ind w:leftChars="0" w:firstLine="640" w:firstLineChars="200"/>
        <w:rPr>
          <w:rFonts w:ascii="楷体_GB2312" w:hAnsi="楷体_GB2312" w:eastAsia="楷体_GB2312" w:cs="楷体_GB2312"/>
          <w:kern w:val="32"/>
          <w:sz w:val="32"/>
          <w:szCs w:val="32"/>
          <w:lang w:eastAsia="zh-CN"/>
        </w:rPr>
      </w:pPr>
      <w:r>
        <w:rPr>
          <w:rFonts w:hint="eastAsia" w:ascii="楷体_GB2312" w:hAnsi="楷体_GB2312" w:eastAsia="楷体_GB2312" w:cs="楷体_GB2312"/>
          <w:kern w:val="32"/>
          <w:sz w:val="32"/>
          <w:szCs w:val="32"/>
          <w:lang w:eastAsia="zh-CN"/>
        </w:rPr>
        <w:t>（</w:t>
      </w:r>
      <w:r>
        <w:rPr>
          <w:rFonts w:hint="eastAsia" w:ascii="楷体_GB2312" w:hAnsi="楷体_GB2312" w:eastAsia="楷体_GB2312" w:cs="楷体_GB2312"/>
          <w:kern w:val="32"/>
          <w:sz w:val="32"/>
          <w:szCs w:val="32"/>
          <w:lang w:val="en-US" w:eastAsia="zh-CN"/>
        </w:rPr>
        <w:t>三</w:t>
      </w:r>
      <w:r>
        <w:rPr>
          <w:rFonts w:hint="eastAsia" w:ascii="楷体_GB2312" w:hAnsi="楷体_GB2312" w:eastAsia="楷体_GB2312" w:cs="楷体_GB2312"/>
          <w:kern w:val="32"/>
          <w:sz w:val="32"/>
          <w:szCs w:val="32"/>
          <w:lang w:eastAsia="zh-CN"/>
        </w:rPr>
        <w:t>）生态环境保护要求</w:t>
      </w:r>
    </w:p>
    <w:p w14:paraId="795C346A">
      <w:pPr>
        <w:numPr>
          <w:ilvl w:val="0"/>
          <w:numId w:val="0"/>
        </w:numPr>
        <w:kinsoku/>
        <w:topLinePunct/>
        <w:autoSpaceDE/>
        <w:autoSpaceDN/>
        <w:adjustRightInd/>
        <w:snapToGrid/>
        <w:spacing w:line="570" w:lineRule="exact"/>
        <w:ind w:firstLine="640" w:firstLineChars="200"/>
        <w:rPr>
          <w:rFonts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val="en-US" w:eastAsia="zh-CN"/>
        </w:rPr>
        <w:t>1.</w:t>
      </w:r>
      <w:r>
        <w:rPr>
          <w:rFonts w:hint="eastAsia" w:ascii="仿宋_GB2312" w:hAnsi="仿宋_GB2312" w:eastAsia="仿宋_GB2312" w:cs="仿宋_GB2312"/>
          <w:kern w:val="32"/>
          <w:sz w:val="32"/>
          <w:szCs w:val="32"/>
          <w:lang w:eastAsia="zh-CN"/>
        </w:rPr>
        <w:t>竞得人必须按照现行规定编写《矿山地质环境保护与土地复垦方案》，并按照程序做好方案的审查公示工作，严格按照方案要求做好矿区地质灾害防治、地质环境恢复治理和土地复垦工作，参照《广东省自然资源厅矿山地质环境治理恢复基金管理暂行办法》（粤自然资规字〔2020〕6号）的要求，在取得采矿权登记后1个月内设立矿山地质环境治理恢复基金账户，统一计提使用矿山地质环境治理恢复基金。</w:t>
      </w:r>
    </w:p>
    <w:p w14:paraId="533F6DEC">
      <w:pPr>
        <w:numPr>
          <w:ilvl w:val="0"/>
          <w:numId w:val="0"/>
        </w:numPr>
        <w:kinsoku/>
        <w:topLinePunct/>
        <w:autoSpaceDE/>
        <w:autoSpaceDN/>
        <w:adjustRightInd/>
        <w:snapToGrid/>
        <w:spacing w:line="570" w:lineRule="exact"/>
        <w:ind w:firstLine="640" w:firstLineChars="200"/>
        <w:rPr>
          <w:rFonts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val="en-US" w:eastAsia="zh-CN"/>
        </w:rPr>
        <w:t>2.</w:t>
      </w:r>
      <w:r>
        <w:rPr>
          <w:rFonts w:hint="eastAsia" w:ascii="仿宋_GB2312" w:hAnsi="仿宋_GB2312" w:eastAsia="仿宋_GB2312" w:cs="仿宋_GB2312"/>
          <w:kern w:val="32"/>
          <w:sz w:val="32"/>
          <w:szCs w:val="32"/>
          <w:lang w:eastAsia="zh-CN"/>
        </w:rPr>
        <w:t>竞得人按照“谁开发、谁保护，边开发、边治理”的原则，承担矿山地质环境保护与治理恢复责任，落实企业监测主体责任，加强矿山地质环境监测。并于每年12月31日前将年度矿山地质环境治理恢复与土地复垦工程实施情况、基金计提与使用及下一步年度计划使用情况等，书面报告遂溪县自然资源局。</w:t>
      </w:r>
    </w:p>
    <w:p w14:paraId="49C3707C">
      <w:pPr>
        <w:numPr>
          <w:ilvl w:val="0"/>
          <w:numId w:val="0"/>
        </w:numPr>
        <w:kinsoku/>
        <w:topLinePunct/>
        <w:autoSpaceDE/>
        <w:autoSpaceDN/>
        <w:adjustRightInd/>
        <w:snapToGrid/>
        <w:spacing w:line="570" w:lineRule="exact"/>
        <w:ind w:firstLine="640" w:firstLineChars="200"/>
        <w:jc w:val="both"/>
        <w:rPr>
          <w:rFonts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val="en-US" w:eastAsia="zh-CN"/>
        </w:rPr>
        <w:t>3.</w:t>
      </w:r>
      <w:r>
        <w:rPr>
          <w:rFonts w:hint="eastAsia" w:ascii="仿宋_GB2312" w:hAnsi="仿宋_GB2312" w:eastAsia="仿宋_GB2312" w:cs="仿宋_GB2312"/>
          <w:kern w:val="32"/>
          <w:sz w:val="32"/>
          <w:szCs w:val="32"/>
          <w:lang w:eastAsia="zh-CN"/>
        </w:rPr>
        <w:t>矿山在发证正式投产后</w:t>
      </w:r>
      <w:r>
        <w:rPr>
          <w:rFonts w:hint="eastAsia" w:ascii="仿宋_GB2312" w:hAnsi="仿宋_GB2312" w:eastAsia="仿宋_GB2312" w:cs="仿宋_GB2312"/>
          <w:strike w:val="0"/>
          <w:color w:val="000000" w:themeColor="text1"/>
          <w:spacing w:val="0"/>
          <w:kern w:val="32"/>
          <w:sz w:val="32"/>
          <w:szCs w:val="32"/>
          <w:lang w:val="en-US" w:eastAsia="zh-CN"/>
          <w14:textFill>
            <w14:solidFill>
              <w14:schemeClr w14:val="tx1"/>
            </w14:solidFill>
          </w14:textFill>
        </w:rPr>
        <w:t>1-2年</w:t>
      </w:r>
      <w:r>
        <w:rPr>
          <w:rFonts w:hint="eastAsia" w:ascii="仿宋_GB2312" w:hAnsi="仿宋_GB2312" w:eastAsia="仿宋_GB2312" w:cs="仿宋_GB2312"/>
          <w:strike w:val="0"/>
          <w:color w:val="000000" w:themeColor="text1"/>
          <w:spacing w:val="0"/>
          <w:kern w:val="32"/>
          <w:sz w:val="32"/>
          <w:szCs w:val="32"/>
          <w14:textFill>
            <w14:solidFill>
              <w14:schemeClr w14:val="tx1"/>
            </w14:solidFill>
          </w14:textFill>
        </w:rPr>
        <w:t>内</w:t>
      </w:r>
      <w:r>
        <w:rPr>
          <w:rFonts w:hint="eastAsia" w:ascii="仿宋_GB2312" w:hAnsi="仿宋_GB2312" w:eastAsia="仿宋_GB2312" w:cs="仿宋_GB2312"/>
          <w:kern w:val="32"/>
          <w:sz w:val="32"/>
          <w:szCs w:val="32"/>
          <w:lang w:eastAsia="zh-CN"/>
        </w:rPr>
        <w:t>，竞得人应严格按照《广东省自然资源厅关于全面推进绿色矿山建设工作的通知》（粤自然资函〔2021〕497号）《广东省自然资源厅关于常态化推进绿色矿山建设达标工作的通知》（粤自然资矿管〔2024〕211号）《自然资源部 生态环境部 财政部 国家市场监督管理总局 国家金融监督管理总局 中国证劵监督管理委员会 国家林业和草原</w:t>
      </w:r>
      <w:r>
        <w:rPr>
          <w:rFonts w:hint="eastAsia" w:ascii="仿宋_GB2312" w:hAnsi="仿宋_GB2312" w:eastAsia="仿宋_GB2312" w:cs="仿宋_GB2312"/>
          <w:spacing w:val="-11"/>
          <w:kern w:val="32"/>
          <w:sz w:val="32"/>
          <w:szCs w:val="32"/>
          <w:lang w:eastAsia="zh-CN"/>
        </w:rPr>
        <w:t>局关于进一步加强绿色矿山建设的通知》（自然资规〔2024〕1号）</w:t>
      </w:r>
      <w:r>
        <w:rPr>
          <w:rFonts w:hint="eastAsia" w:ascii="仿宋_GB2312" w:hAnsi="仿宋_GB2312" w:eastAsia="仿宋_GB2312" w:cs="仿宋_GB2312"/>
          <w:kern w:val="32"/>
          <w:sz w:val="32"/>
          <w:szCs w:val="32"/>
          <w:lang w:eastAsia="zh-CN"/>
        </w:rPr>
        <w:t>的要求建设绿色矿山，达到绿色矿山标准，并经自然资源主管部门评审通过，否则管理机关按规定追究相关违约责任。</w:t>
      </w:r>
    </w:p>
    <w:p w14:paraId="3F05275C">
      <w:pPr>
        <w:numPr>
          <w:ilvl w:val="0"/>
          <w:numId w:val="0"/>
        </w:numPr>
        <w:kinsoku/>
        <w:topLinePunct/>
        <w:autoSpaceDE/>
        <w:autoSpaceDN/>
        <w:adjustRightInd/>
        <w:snapToGrid/>
        <w:spacing w:line="570" w:lineRule="exact"/>
        <w:ind w:firstLine="640" w:firstLineChars="200"/>
        <w:rPr>
          <w:rFonts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val="en-US" w:eastAsia="zh-CN"/>
        </w:rPr>
        <w:t>4.</w:t>
      </w:r>
      <w:r>
        <w:rPr>
          <w:rFonts w:hint="eastAsia" w:ascii="仿宋_GB2312" w:hAnsi="仿宋_GB2312" w:eastAsia="仿宋_GB2312" w:cs="仿宋_GB2312"/>
          <w:kern w:val="32"/>
          <w:sz w:val="32"/>
          <w:szCs w:val="32"/>
          <w:lang w:eastAsia="zh-CN"/>
        </w:rPr>
        <w:t>竞得人需自行按照生态环境、水务、林业</w:t>
      </w:r>
      <w:r>
        <w:rPr>
          <w:rFonts w:hint="eastAsia" w:ascii="仿宋_GB2312" w:hAnsi="仿宋_GB2312" w:eastAsia="仿宋_GB2312" w:cs="仿宋_GB2312"/>
          <w:kern w:val="32"/>
          <w:sz w:val="32"/>
          <w:szCs w:val="32"/>
          <w:lang w:val="en-US" w:eastAsia="zh-CN"/>
        </w:rPr>
        <w:t>等</w:t>
      </w:r>
      <w:r>
        <w:rPr>
          <w:rFonts w:hint="eastAsia" w:ascii="仿宋_GB2312" w:hAnsi="仿宋_GB2312" w:eastAsia="仿宋_GB2312" w:cs="仿宋_GB2312"/>
          <w:kern w:val="32"/>
          <w:sz w:val="32"/>
          <w:szCs w:val="32"/>
          <w:lang w:eastAsia="zh-CN"/>
        </w:rPr>
        <w:t>主管部门的要求办理环境影响评价、水土保持、</w:t>
      </w:r>
      <w:r>
        <w:rPr>
          <w:rFonts w:hint="eastAsia" w:ascii="仿宋_GB2312" w:hAnsi="仿宋_GB2312" w:eastAsia="仿宋_GB2312" w:cs="仿宋_GB2312"/>
          <w:kern w:val="32"/>
          <w:sz w:val="32"/>
          <w:szCs w:val="32"/>
          <w:lang w:val="en-US" w:eastAsia="zh-CN"/>
        </w:rPr>
        <w:t>安全许可、</w:t>
      </w:r>
      <w:r>
        <w:rPr>
          <w:rFonts w:hint="eastAsia" w:ascii="仿宋_GB2312" w:hAnsi="仿宋_GB2312" w:eastAsia="仿宋_GB2312" w:cs="仿宋_GB2312"/>
          <w:kern w:val="32"/>
          <w:sz w:val="32"/>
          <w:szCs w:val="32"/>
          <w:lang w:eastAsia="zh-CN"/>
        </w:rPr>
        <w:t>用林</w:t>
      </w:r>
      <w:r>
        <w:rPr>
          <w:rFonts w:hint="eastAsia" w:ascii="仿宋_GB2312" w:hAnsi="仿宋_GB2312" w:eastAsia="仿宋_GB2312" w:cs="仿宋_GB2312"/>
          <w:kern w:val="32"/>
          <w:sz w:val="32"/>
          <w:szCs w:val="32"/>
          <w:lang w:val="en-US" w:eastAsia="zh-CN"/>
        </w:rPr>
        <w:t>等</w:t>
      </w:r>
      <w:r>
        <w:rPr>
          <w:rFonts w:hint="eastAsia" w:ascii="仿宋_GB2312" w:hAnsi="仿宋_GB2312" w:eastAsia="仿宋_GB2312" w:cs="仿宋_GB2312"/>
          <w:kern w:val="32"/>
          <w:sz w:val="32"/>
          <w:szCs w:val="32"/>
          <w:lang w:eastAsia="zh-CN"/>
        </w:rPr>
        <w:t>手续，并根据各主管部门的要求落实好各项措施。</w:t>
      </w:r>
    </w:p>
    <w:p w14:paraId="7D21708E">
      <w:pPr>
        <w:numPr>
          <w:ilvl w:val="0"/>
          <w:numId w:val="0"/>
        </w:numPr>
        <w:wordWrap w:val="0"/>
        <w:topLinePunct/>
        <w:spacing w:line="600" w:lineRule="exact"/>
        <w:ind w:left="420" w:leftChars="0" w:firstLine="320" w:firstLineChars="100"/>
        <w:jc w:val="both"/>
        <w:rPr>
          <w:rFonts w:ascii="楷体_GB2312" w:hAnsi="楷体_GB2312" w:eastAsia="楷体_GB2312" w:cs="楷体_GB2312"/>
          <w:color w:val="auto"/>
          <w:kern w:val="32"/>
          <w:sz w:val="32"/>
          <w:szCs w:val="32"/>
          <w:lang w:eastAsia="zh-CN"/>
        </w:rPr>
      </w:pPr>
      <w:r>
        <w:rPr>
          <w:rFonts w:hint="eastAsia" w:ascii="楷体_GB2312" w:hAnsi="楷体_GB2312" w:eastAsia="楷体_GB2312" w:cs="楷体_GB2312"/>
          <w:color w:val="auto"/>
          <w:kern w:val="32"/>
          <w:sz w:val="32"/>
          <w:szCs w:val="32"/>
          <w:lang w:eastAsia="zh-CN"/>
        </w:rPr>
        <w:t>（</w:t>
      </w:r>
      <w:r>
        <w:rPr>
          <w:rFonts w:hint="eastAsia" w:ascii="楷体_GB2312" w:hAnsi="楷体_GB2312" w:eastAsia="楷体_GB2312" w:cs="楷体_GB2312"/>
          <w:color w:val="auto"/>
          <w:kern w:val="32"/>
          <w:sz w:val="32"/>
          <w:szCs w:val="32"/>
          <w:lang w:val="en-US" w:eastAsia="zh-CN"/>
        </w:rPr>
        <w:t>四</w:t>
      </w:r>
      <w:r>
        <w:rPr>
          <w:rFonts w:hint="eastAsia" w:ascii="楷体_GB2312" w:hAnsi="楷体_GB2312" w:eastAsia="楷体_GB2312" w:cs="楷体_GB2312"/>
          <w:color w:val="auto"/>
          <w:kern w:val="32"/>
          <w:sz w:val="32"/>
          <w:szCs w:val="32"/>
          <w:lang w:eastAsia="zh-CN"/>
        </w:rPr>
        <w:t>）安全生产要求</w:t>
      </w:r>
    </w:p>
    <w:p w14:paraId="4011C95E">
      <w:pPr>
        <w:kinsoku/>
        <w:topLinePunct/>
        <w:autoSpaceDE/>
        <w:autoSpaceDN/>
        <w:adjustRightInd/>
        <w:snapToGrid/>
        <w:spacing w:line="570" w:lineRule="exact"/>
        <w:ind w:firstLine="640" w:firstLineChars="200"/>
        <w:jc w:val="both"/>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矿山要贯彻实施“安全第一，预防为主、综合治理”的方针，业主应委托有资质的设计部门进行安全专项设计并经监管部门审查。针对矿山工作中存在的职业危害特点，采取有效的防范措施，确保矿山安全和员工身体健康,符合劳动安全卫生的要求，能够保障劳动者在生产过程中的安全与健康。</w:t>
      </w:r>
    </w:p>
    <w:p w14:paraId="16F8D8F4">
      <w:pPr>
        <w:keepNext w:val="0"/>
        <w:keepLines w:val="0"/>
        <w:pageBreakBefore w:val="0"/>
        <w:widowControl/>
        <w:numPr>
          <w:ilvl w:val="0"/>
          <w:numId w:val="0"/>
        </w:numPr>
        <w:kinsoku/>
        <w:wordWrap/>
        <w:overflowPunct/>
        <w:topLinePunct/>
        <w:autoSpaceDE/>
        <w:autoSpaceDN/>
        <w:bidi w:val="0"/>
        <w:adjustRightInd/>
        <w:snapToGrid/>
        <w:spacing w:line="600" w:lineRule="exact"/>
        <w:ind w:firstLine="640" w:firstLineChars="200"/>
        <w:jc w:val="both"/>
        <w:textAlignment w:val="baseline"/>
        <w:rPr>
          <w:rFonts w:ascii="Times New Roman" w:hAnsi="Times New Roman" w:eastAsia="宋体" w:cs="Times New Roman"/>
          <w:b/>
          <w:bCs/>
          <w:color w:val="auto"/>
          <w:sz w:val="39"/>
          <w:szCs w:val="39"/>
          <w:lang w:eastAsia="zh-CN"/>
        </w:rPr>
      </w:pP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lang w:eastAsia="zh-CN"/>
        </w:rPr>
        <w:t>矿山开采属于高危险性行业，必须重视安全生产。矿山应制定相应的严格的安全生产规章制度：建立、健全主要负责人、分管负责人、安全生产管理人员、职能部门等岗位安全生产责任制；制定安全生产管理制度、安全检查制度、职业危害预防制度、安全教育培训制度、生产安全事故管理制度、重大危险源监控和重大隐患整改制度、设备安全事故管理制度、劳动防护用品使用管理制度、安全技术措施费用的提取和使用制度、安全生产档案管理制度、安全生产奖惩制度等规章制度；制定作业安全规程和各工种操作规程。</w:t>
      </w:r>
    </w:p>
    <w:p w14:paraId="77556598">
      <w:pPr>
        <w:keepNext w:val="0"/>
        <w:keepLines w:val="0"/>
        <w:pageBreakBefore w:val="0"/>
        <w:widowControl/>
        <w:numPr>
          <w:ilvl w:val="0"/>
          <w:numId w:val="0"/>
        </w:numPr>
        <w:kinsoku/>
        <w:wordWrap/>
        <w:overflowPunct/>
        <w:topLinePunct/>
        <w:autoSpaceDE/>
        <w:autoSpaceDN/>
        <w:bidi w:val="0"/>
        <w:adjustRightInd/>
        <w:snapToGrid/>
        <w:spacing w:line="580" w:lineRule="exact"/>
        <w:ind w:firstLine="640" w:firstLineChars="200"/>
        <w:textAlignment w:val="baseline"/>
        <w:rPr>
          <w:rFonts w:ascii="Times New Roman" w:hAnsi="Times New Roman" w:eastAsia="宋体" w:cs="Times New Roman"/>
          <w:b/>
          <w:bCs/>
          <w:color w:val="auto"/>
          <w:sz w:val="39"/>
          <w:szCs w:val="39"/>
          <w:lang w:eastAsia="zh-CN"/>
        </w:rPr>
      </w:pP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lang w:eastAsia="zh-CN"/>
        </w:rPr>
        <w:t>安全生产投入符合安全生产要求，并按照有关规定提取安全技术措施专项经费；设置安全生产管理机构，配备专职安全生产管理人员；主要负责人和安全生产管理人员的安全生产知识和管理能力经考核合格；特种作业人员必须取得特种作业操作资格证书方能上岗；其他从业人员按照规定接受安全生产教育和培训，并经考试合格；依法参加工伤保险，为从业人员缴纳工伤保险费；对有职业危害的场所进行定期检测，有防治职业危害的具体措施，并按规定为从业人员配备符合国家标准或行业标准的劳动防护用品；按有关要求编制矿山开采设计及安全设施设计专篇，依法进行安全评价；对作业环境安全条件和危险性较大的设备进行定期检测检验，有预防事故的安全技术保障措施；露天边坡等易发生事故的场所、设施、设备，有登记档案和检测、评估报告及监控措施；制订中毒窒息、边坡坍塌以及采矿诱发地质灾害等事故的应急救援预案，保证发生事故后能及时处理，减少人身、财产损失。在事故发生后及时总结经验教训，尽可能杜绝发生类似事故；编制完善矿山生产事故应急救援预案。配备必要的应急救援器材、设备；指定兼职的应急救援人员，并与邻近的事故应急救援组织签订救护协议。</w:t>
      </w:r>
    </w:p>
    <w:p w14:paraId="1E2DBA48">
      <w:pPr>
        <w:keepNext w:val="0"/>
        <w:keepLines w:val="0"/>
        <w:pageBreakBefore w:val="0"/>
        <w:widowControl/>
        <w:numPr>
          <w:ilvl w:val="0"/>
          <w:numId w:val="0"/>
        </w:numPr>
        <w:kinsoku/>
        <w:wordWrap/>
        <w:overflowPunct/>
        <w:topLinePunct/>
        <w:autoSpaceDE/>
        <w:autoSpaceDN/>
        <w:bidi w:val="0"/>
        <w:adjustRightInd/>
        <w:snapToGrid/>
        <w:spacing w:line="600" w:lineRule="exact"/>
        <w:ind w:firstLine="640" w:firstLineChars="200"/>
        <w:textAlignment w:val="baseline"/>
        <w:rPr>
          <w:rFonts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val="en-US" w:eastAsia="zh-CN"/>
        </w:rPr>
        <w:t>3.</w:t>
      </w:r>
      <w:r>
        <w:rPr>
          <w:rFonts w:hint="eastAsia" w:ascii="仿宋_GB2312" w:hAnsi="仿宋_GB2312" w:eastAsia="仿宋_GB2312" w:cs="仿宋_GB2312"/>
          <w:kern w:val="32"/>
          <w:sz w:val="32"/>
          <w:szCs w:val="32"/>
          <w:lang w:eastAsia="zh-CN"/>
        </w:rPr>
        <w:t>竞得人需自行按照应急部门的要求办理相关手续。</w:t>
      </w:r>
    </w:p>
    <w:p w14:paraId="61401696">
      <w:pPr>
        <w:numPr>
          <w:ilvl w:val="0"/>
          <w:numId w:val="0"/>
        </w:numPr>
        <w:wordWrap w:val="0"/>
        <w:topLinePunct/>
        <w:spacing w:line="240" w:lineRule="auto"/>
        <w:ind w:leftChars="0" w:firstLine="640" w:firstLineChars="200"/>
        <w:rPr>
          <w:rFonts w:ascii="楷体_GB2312" w:hAnsi="楷体_GB2312" w:eastAsia="楷体_GB2312" w:cs="楷体_GB2312"/>
          <w:kern w:val="32"/>
          <w:sz w:val="32"/>
          <w:szCs w:val="32"/>
          <w:lang w:eastAsia="zh-CN"/>
        </w:rPr>
      </w:pPr>
      <w:r>
        <w:rPr>
          <w:rFonts w:hint="eastAsia" w:ascii="楷体_GB2312" w:hAnsi="楷体_GB2312" w:eastAsia="楷体_GB2312" w:cs="楷体_GB2312"/>
          <w:kern w:val="32"/>
          <w:sz w:val="32"/>
          <w:szCs w:val="32"/>
          <w:lang w:eastAsia="zh-CN"/>
        </w:rPr>
        <w:t>（</w:t>
      </w:r>
      <w:r>
        <w:rPr>
          <w:rFonts w:hint="eastAsia" w:ascii="楷体_GB2312" w:hAnsi="楷体_GB2312" w:eastAsia="楷体_GB2312" w:cs="楷体_GB2312"/>
          <w:kern w:val="32"/>
          <w:sz w:val="32"/>
          <w:szCs w:val="32"/>
          <w:lang w:val="en-US" w:eastAsia="zh-CN"/>
        </w:rPr>
        <w:t>五</w:t>
      </w:r>
      <w:r>
        <w:rPr>
          <w:rFonts w:hint="eastAsia" w:ascii="楷体_GB2312" w:hAnsi="楷体_GB2312" w:eastAsia="楷体_GB2312" w:cs="楷体_GB2312"/>
          <w:kern w:val="32"/>
          <w:sz w:val="32"/>
          <w:szCs w:val="32"/>
          <w:lang w:eastAsia="zh-CN"/>
        </w:rPr>
        <w:t>） 矿地和谐要求</w:t>
      </w:r>
    </w:p>
    <w:p w14:paraId="2E9295E3">
      <w:pPr>
        <w:kinsoku/>
        <w:topLinePunct/>
        <w:autoSpaceDE/>
        <w:autoSpaceDN/>
        <w:adjustRightInd/>
        <w:snapToGrid/>
        <w:spacing w:line="570" w:lineRule="exact"/>
        <w:ind w:firstLine="640" w:firstLineChars="200"/>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eastAsia="zh-CN"/>
        </w:rPr>
        <w:t>竞得人须积极履行社会责任，与相关单位和农村友好协商签订相关土地，山林使用协议，坚持企地共建，利益共享，共同绿色发展的办矿理念，加大对矿区群众的教育、就业、交通、生活、生态环境保护的支持力度，促进社区和谐、社会稳定。</w:t>
      </w:r>
    </w:p>
    <w:p w14:paraId="3625F9E6">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42A38"/>
    <w:multiLevelType w:val="singleLevel"/>
    <w:tmpl w:val="DAE42A38"/>
    <w:lvl w:ilvl="0" w:tentative="0">
      <w:start w:val="1"/>
      <w:numFmt w:val="chineseCounting"/>
      <w:suff w:val="nothing"/>
      <w:lvlText w:val="（%1）"/>
      <w:lvlJc w:val="left"/>
      <w:pPr>
        <w:ind w:left="0" w:firstLine="420"/>
      </w:pPr>
      <w:rPr>
        <w:rFonts w:hint="eastAsia"/>
      </w:rPr>
    </w:lvl>
  </w:abstractNum>
  <w:abstractNum w:abstractNumId="1">
    <w:nsid w:val="4F178BA0"/>
    <w:multiLevelType w:val="singleLevel"/>
    <w:tmpl w:val="4F178BA0"/>
    <w:lvl w:ilvl="0" w:tentative="0">
      <w:start w:val="1"/>
      <w:numFmt w:val="chineseCounting"/>
      <w:suff w:val="nothing"/>
      <w:lvlText w:val="%1、"/>
      <w:lvlJc w:val="left"/>
      <w:pPr>
        <w:ind w:left="0" w:firstLine="420"/>
      </w:pPr>
      <w:rPr>
        <w:rFonts w:hint="eastAsia" w:ascii="黑体" w:hAnsi="黑体" w:eastAsia="黑体" w:cs="黑体"/>
        <w:b w:val="0"/>
        <w:bCs w:val="0"/>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B7A68"/>
    <w:rsid w:val="120B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5"/>
    <w:basedOn w:val="1"/>
    <w:next w:val="1"/>
    <w:semiHidden/>
    <w:unhideWhenUsed/>
    <w:qFormat/>
    <w:uiPriority w:val="0"/>
    <w:pPr>
      <w:keepNext/>
      <w:keepLines/>
      <w:spacing w:line="372" w:lineRule="auto"/>
      <w:outlineLvl w:val="4"/>
    </w:pPr>
    <w:rPr>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rPr>
  </w:style>
  <w:style w:type="paragraph" w:styleId="4">
    <w:name w:val="Body Text"/>
    <w:basedOn w:val="1"/>
    <w:qFormat/>
    <w:uiPriority w:val="0"/>
    <w:rPr>
      <w:rFonts w:ascii="仿宋" w:hAnsi="仿宋" w:eastAsia="仿宋" w:cs="仿宋"/>
      <w:sz w:val="31"/>
      <w:szCs w:val="31"/>
    </w:rPr>
  </w:style>
  <w:style w:type="character" w:customStyle="1" w:styleId="7">
    <w:name w:val="标题 #3_"/>
    <w:basedOn w:val="6"/>
    <w:link w:val="8"/>
    <w:unhideWhenUsed/>
    <w:qFormat/>
    <w:uiPriority w:val="99"/>
    <w:rPr>
      <w:rFonts w:hint="eastAsia" w:ascii="MingLiU" w:hAnsi="MingLiU" w:eastAsia="MingLiU"/>
      <w:b/>
      <w:sz w:val="24"/>
      <w:lang w:val="zh-CN"/>
    </w:rPr>
  </w:style>
  <w:style w:type="paragraph" w:customStyle="1" w:styleId="8">
    <w:name w:val="标题 #3"/>
    <w:basedOn w:val="1"/>
    <w:link w:val="7"/>
    <w:unhideWhenUsed/>
    <w:qFormat/>
    <w:uiPriority w:val="99"/>
    <w:pPr>
      <w:shd w:val="clear" w:color="auto" w:fill="FFFFFF"/>
      <w:spacing w:line="560" w:lineRule="exact"/>
      <w:ind w:firstLine="580"/>
      <w:outlineLvl w:val="2"/>
    </w:pPr>
    <w:rPr>
      <w:rFonts w:hint="eastAsia" w:ascii="MingLiU" w:hAnsi="MingLiU" w:eastAsia="MingLiU"/>
      <w:b/>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2026-04-03T08:44:00Z</dcterms:created>
  <dc:creator>＊＊培</dc:creator>
  <cp:lastModifiedBy>＊＊培</cp:lastModifiedBy>
  <dcterms:modified xsi:type="dcterms:W3CDTF">2026-04-03T08:45:34Z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2A194E7A235E4020A656C444DC81E837_11</vt:lpwstr>
  </property>
  <property fmtid="{D5CDD505-2E9C-101B-9397-08002B2CF9AE}" pid="4" name="KSOTemplateDocerSaveRecord">
    <vt:lpwstr>eyJoZGlkIjoiMWRmYmIyYjJkZjMwODdjNjM3NjI3ZWMyNjQ5ZDRmNTYiLCJ1c2VySWQiOiI4OTQ1OTcyNDcifQ==</vt:lpwstr>
  </property>
</Properties>
</file>