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jc w:val="center"/>
        <w:rPr>
          <w:vanish w:val="0"/>
          <w:color w:val="424242"/>
        </w:rPr>
      </w:pPr>
      <w:r>
        <w:rPr>
          <w:rFonts w:hint="eastAsia"/>
          <w:b/>
          <w:bCs/>
          <w:vanish w:val="0"/>
          <w:color w:val="424242"/>
          <w:sz w:val="44"/>
          <w:szCs w:val="44"/>
        </w:rPr>
        <w:t>湛江市金融工作局惠企利民政策汇总</w:t>
      </w:r>
      <w:r>
        <w:rPr>
          <w:vanish w:val="0"/>
          <w:color w:val="424242"/>
        </w:rPr>
        <w:br w:type="textWrapping"/>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仿宋_GB2312" w:eastAsia="仿宋_GB2312"/>
          <w:vanish w:val="0"/>
          <w:color w:val="424242"/>
          <w:sz w:val="32"/>
          <w:szCs w:val="32"/>
        </w:rPr>
      </w:pPr>
      <w:r>
        <w:rPr>
          <w:rFonts w:hint="eastAsia" w:ascii="仿宋_GB2312" w:eastAsia="仿宋_GB2312"/>
          <w:vanish w:val="0"/>
          <w:color w:val="auto"/>
          <w:sz w:val="32"/>
          <w:szCs w:val="32"/>
        </w:rPr>
        <w:t>为做好惠企利民政策宣传解读工作，打通惠企利民政策落地“最后一公里”，现将湛江市金融工作局近年来发布且正在实施的有关政策汇总如下：</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黑体-GB2312" w:hAnsi="CESI黑体-GB2312" w:eastAsia="CESI黑体-GB2312" w:cs="CESI黑体-GB2312"/>
          <w:b w:val="0"/>
          <w:bCs w:val="0"/>
          <w:vanish w:val="0"/>
          <w:color w:val="424242"/>
          <w:sz w:val="32"/>
          <w:szCs w:val="32"/>
        </w:rPr>
      </w:pPr>
      <w:r>
        <w:rPr>
          <w:rFonts w:hint="eastAsia" w:ascii="CESI黑体-GB2312" w:hAnsi="CESI黑体-GB2312" w:eastAsia="CESI黑体-GB2312" w:cs="CESI黑体-GB2312"/>
          <w:b w:val="0"/>
          <w:bCs w:val="0"/>
          <w:vanish w:val="0"/>
          <w:color w:val="424242"/>
          <w:sz w:val="32"/>
          <w:szCs w:val="32"/>
        </w:rPr>
        <w:t>一、湛江市金融支持海洋牧场加快高质量发展的若干措施</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发布日期：2023年6月26日</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政策背景：为贯彻落实党的二十大精神和习近平总书记视察广东重要讲话、重要指示精神，全面落实党中央、全面落实以及省、市推进现代化海洋牧场建设的决策部署要求，进一步强化金融对海洋牧场建设发展的保障作用，助推全市海洋牧场加快高质量发展，做大做强海洋经济，为湛江全力建设省域副中心城市、加快打造现代化沿海经济带重要发展极、力争各项主要工作指标迈入全省第一方阵贡献更多金融力量，特制定如下措施。</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原文链接（附政策解读）：</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vanish w:val="0"/>
          <w:color w:val="auto"/>
          <w:sz w:val="32"/>
          <w:szCs w:val="32"/>
        </w:rPr>
      </w:pPr>
      <w:r>
        <w:rPr>
          <w:rStyle w:val="8"/>
          <w:rFonts w:hint="eastAsia" w:ascii="CESI仿宋-GB2312" w:hAnsi="CESI仿宋-GB2312" w:eastAsia="CESI仿宋-GB2312" w:cs="CESI仿宋-GB2312"/>
          <w:b w:val="0"/>
          <w:bCs w:val="0"/>
          <w:vanish w:val="0"/>
          <w:color w:val="auto"/>
          <w:sz w:val="32"/>
          <w:szCs w:val="32"/>
        </w:rPr>
        <w:fldChar w:fldCharType="begin"/>
      </w:r>
      <w:r>
        <w:rPr>
          <w:rFonts w:hint="eastAsia" w:ascii="CESI仿宋-GB2312" w:hAnsi="CESI仿宋-GB2312" w:eastAsia="CESI仿宋-GB2312" w:cs="CESI仿宋-GB2312"/>
          <w:color w:val="auto"/>
          <w:sz w:val="32"/>
          <w:szCs w:val="32"/>
        </w:rPr>
        <w:instrText xml:space="preserve">HYPERLINK "https://www.zhanjiang.gov.cn/jrj/gkmlpt/content/1/1776/post_1776792.html#1024"</w:instrText>
      </w:r>
      <w:r>
        <w:rPr>
          <w:rStyle w:val="8"/>
          <w:rFonts w:hint="eastAsia" w:ascii="CESI仿宋-GB2312" w:hAnsi="CESI仿宋-GB2312" w:eastAsia="CESI仿宋-GB2312" w:cs="CESI仿宋-GB2312"/>
          <w:b w:val="0"/>
          <w:bCs w:val="0"/>
          <w:vanish w:val="0"/>
          <w:color w:val="auto"/>
          <w:sz w:val="32"/>
          <w:szCs w:val="32"/>
        </w:rPr>
        <w:fldChar w:fldCharType="separate"/>
      </w:r>
      <w:r>
        <w:rPr>
          <w:rStyle w:val="8"/>
          <w:rFonts w:hint="eastAsia" w:ascii="CESI仿宋-GB2312" w:hAnsi="CESI仿宋-GB2312" w:eastAsia="CESI仿宋-GB2312" w:cs="CESI仿宋-GB2312"/>
          <w:b w:val="0"/>
          <w:bCs w:val="0"/>
          <w:vanish w:val="0"/>
          <w:color w:val="auto"/>
          <w:sz w:val="32"/>
          <w:szCs w:val="32"/>
        </w:rPr>
        <w:t>https://www.zhanjiang.gov.cn/jrj/gkmlpt/content/1/1776/post_1776792.html#1024</w:t>
      </w:r>
      <w:r>
        <w:rPr>
          <w:rStyle w:val="8"/>
          <w:rFonts w:hint="eastAsia" w:ascii="CESI仿宋-GB2312" w:hAnsi="CESI仿宋-GB2312" w:eastAsia="CESI仿宋-GB2312" w:cs="CESI仿宋-GB2312"/>
          <w:b w:val="0"/>
          <w:bCs w:val="0"/>
          <w:vanish w:val="0"/>
          <w:color w:val="auto"/>
          <w:sz w:val="32"/>
          <w:szCs w:val="32"/>
        </w:rPr>
        <w:fldChar w:fldCharType="end"/>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黑体-GB2312" w:hAnsi="CESI黑体-GB2312" w:eastAsia="CESI黑体-GB2312" w:cs="CESI黑体-GB2312"/>
          <w:b w:val="0"/>
          <w:bCs w:val="0"/>
          <w:vanish w:val="0"/>
          <w:color w:val="424242"/>
          <w:sz w:val="32"/>
          <w:szCs w:val="32"/>
        </w:rPr>
      </w:pPr>
      <w:r>
        <w:rPr>
          <w:rFonts w:hint="eastAsia" w:ascii="CESI黑体-GB2312" w:hAnsi="CESI黑体-GB2312" w:eastAsia="CESI黑体-GB2312" w:cs="CESI黑体-GB2312"/>
          <w:b w:val="0"/>
          <w:bCs w:val="0"/>
          <w:vanish w:val="0"/>
          <w:color w:val="424242"/>
          <w:sz w:val="32"/>
          <w:szCs w:val="32"/>
        </w:rPr>
        <w:t>二、湛江市推进企业赴北交所上市专项行动计划（2023-2025年）</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发布日期：2023年7月18日</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政策背景：为贯彻落实党中央、国务院关于全面深化资本市场改革的决策部署，抢抓国家全面实施股票发行注册制、北京证券交易所扩容、新三板提标的发展机遇，进一步支持我市企业赴北交所上市“快车道”，促进我市产业转型升级，推动经济高质量发展，特制定本行动计划。</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原文链接（附政策解读）：</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vanish w:val="0"/>
          <w:color w:val="auto"/>
          <w:sz w:val="32"/>
          <w:szCs w:val="32"/>
        </w:rPr>
      </w:pPr>
      <w:r>
        <w:rPr>
          <w:rStyle w:val="8"/>
          <w:rFonts w:hint="eastAsia" w:ascii="CESI仿宋-GB2312" w:hAnsi="CESI仿宋-GB2312" w:eastAsia="CESI仿宋-GB2312" w:cs="CESI仿宋-GB2312"/>
          <w:vanish w:val="0"/>
          <w:color w:val="auto"/>
          <w:sz w:val="32"/>
          <w:szCs w:val="32"/>
        </w:rPr>
        <w:fldChar w:fldCharType="begin"/>
      </w:r>
      <w:r>
        <w:rPr>
          <w:rFonts w:hint="eastAsia" w:ascii="CESI仿宋-GB2312" w:hAnsi="CESI仿宋-GB2312" w:eastAsia="CESI仿宋-GB2312" w:cs="CESI仿宋-GB2312"/>
          <w:color w:val="auto"/>
          <w:sz w:val="32"/>
          <w:szCs w:val="32"/>
        </w:rPr>
        <w:instrText xml:space="preserve">HYPERLINK "https://www.zhanjiang.gov.cn/jrj/gkmlpt/content/1/1784/post_1784173.html#1024"</w:instrText>
      </w:r>
      <w:r>
        <w:rPr>
          <w:rStyle w:val="8"/>
          <w:rFonts w:hint="eastAsia" w:ascii="CESI仿宋-GB2312" w:hAnsi="CESI仿宋-GB2312" w:eastAsia="CESI仿宋-GB2312" w:cs="CESI仿宋-GB2312"/>
          <w:vanish w:val="0"/>
          <w:color w:val="auto"/>
          <w:sz w:val="32"/>
          <w:szCs w:val="32"/>
        </w:rPr>
        <w:fldChar w:fldCharType="separate"/>
      </w:r>
      <w:r>
        <w:rPr>
          <w:rStyle w:val="8"/>
          <w:rFonts w:hint="eastAsia" w:ascii="CESI仿宋-GB2312" w:hAnsi="CESI仿宋-GB2312" w:eastAsia="CESI仿宋-GB2312" w:cs="CESI仿宋-GB2312"/>
          <w:vanish w:val="0"/>
          <w:color w:val="auto"/>
          <w:sz w:val="32"/>
          <w:szCs w:val="32"/>
        </w:rPr>
        <w:t>https://www.zhanjiang.gov.cn/jrj/gkmlpt/content/1/1784/post_1784173.html#1024</w:t>
      </w:r>
      <w:r>
        <w:rPr>
          <w:rStyle w:val="8"/>
          <w:rFonts w:hint="eastAsia" w:ascii="CESI仿宋-GB2312" w:hAnsi="CESI仿宋-GB2312" w:eastAsia="CESI仿宋-GB2312" w:cs="CESI仿宋-GB2312"/>
          <w:vanish w:val="0"/>
          <w:color w:val="auto"/>
          <w:sz w:val="32"/>
          <w:szCs w:val="32"/>
        </w:rPr>
        <w:fldChar w:fldCharType="end"/>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黑体-GB2312" w:hAnsi="CESI黑体-GB2312" w:eastAsia="CESI黑体-GB2312" w:cs="CESI黑体-GB2312"/>
          <w:b w:val="0"/>
          <w:bCs w:val="0"/>
          <w:vanish w:val="0"/>
          <w:color w:val="424242"/>
          <w:sz w:val="32"/>
          <w:szCs w:val="32"/>
        </w:rPr>
      </w:pPr>
      <w:r>
        <w:rPr>
          <w:rFonts w:hint="eastAsia" w:ascii="CESI黑体-GB2312" w:hAnsi="CESI黑体-GB2312" w:eastAsia="CESI黑体-GB2312" w:cs="CESI黑体-GB2312"/>
          <w:b w:val="0"/>
          <w:bCs w:val="0"/>
          <w:vanish w:val="0"/>
          <w:color w:val="424242"/>
          <w:sz w:val="32"/>
          <w:szCs w:val="32"/>
        </w:rPr>
        <w:t>三、湛江市上市后备企业培育管理办法</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vanish w:val="0"/>
          <w:color w:val="auto"/>
          <w:sz w:val="32"/>
          <w:szCs w:val="32"/>
        </w:rPr>
      </w:pPr>
      <w:r>
        <w:rPr>
          <w:rFonts w:hint="eastAsia" w:ascii="CESI仿宋-GB2312" w:hAnsi="CESI仿宋-GB2312" w:eastAsia="CESI仿宋-GB2312" w:cs="CESI仿宋-GB2312"/>
          <w:b w:val="0"/>
          <w:bCs w:val="0"/>
          <w:vanish w:val="0"/>
          <w:color w:val="auto"/>
          <w:sz w:val="32"/>
          <w:szCs w:val="32"/>
        </w:rPr>
        <w:t>发布日期：2020年9月3日</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政策背景：为充分挖掘我市上市企业资源，集中力量扶持优质企业利用多层次资本市场发展壮大，依据《湛江市鼓励企业利用资本市场上市融资奖励办法》，建立“湛江市上市后备企业资源库”，并结合实际，制定本管理办法。</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原文链接（附政策解读）：</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vanish w:val="0"/>
          <w:color w:val="auto"/>
          <w:sz w:val="32"/>
          <w:szCs w:val="32"/>
        </w:rPr>
      </w:pPr>
      <w:r>
        <w:rPr>
          <w:rStyle w:val="8"/>
          <w:rFonts w:hint="eastAsia" w:ascii="CESI仿宋-GB2312" w:hAnsi="CESI仿宋-GB2312" w:eastAsia="CESI仿宋-GB2312" w:cs="CESI仿宋-GB2312"/>
          <w:b w:val="0"/>
          <w:bCs w:val="0"/>
          <w:vanish w:val="0"/>
          <w:color w:val="auto"/>
          <w:sz w:val="32"/>
          <w:szCs w:val="32"/>
        </w:rPr>
        <w:fldChar w:fldCharType="begin"/>
      </w:r>
      <w:r>
        <w:rPr>
          <w:rFonts w:hint="eastAsia" w:ascii="CESI仿宋-GB2312" w:hAnsi="CESI仿宋-GB2312" w:eastAsia="CESI仿宋-GB2312" w:cs="CESI仿宋-GB2312"/>
          <w:color w:val="auto"/>
          <w:sz w:val="32"/>
          <w:szCs w:val="32"/>
        </w:rPr>
        <w:instrText xml:space="preserve">HYPERLINK "https://www.zhanjiang.gov.cn/jrj/gkmlpt/content/1/1400/post_1400979.html#1023"</w:instrText>
      </w:r>
      <w:r>
        <w:rPr>
          <w:rStyle w:val="8"/>
          <w:rFonts w:hint="eastAsia" w:ascii="CESI仿宋-GB2312" w:hAnsi="CESI仿宋-GB2312" w:eastAsia="CESI仿宋-GB2312" w:cs="CESI仿宋-GB2312"/>
          <w:b w:val="0"/>
          <w:bCs w:val="0"/>
          <w:vanish w:val="0"/>
          <w:color w:val="auto"/>
          <w:sz w:val="32"/>
          <w:szCs w:val="32"/>
        </w:rPr>
        <w:fldChar w:fldCharType="separate"/>
      </w:r>
      <w:r>
        <w:rPr>
          <w:rStyle w:val="8"/>
          <w:rFonts w:hint="eastAsia" w:ascii="CESI仿宋-GB2312" w:hAnsi="CESI仿宋-GB2312" w:eastAsia="CESI仿宋-GB2312" w:cs="CESI仿宋-GB2312"/>
          <w:b w:val="0"/>
          <w:bCs w:val="0"/>
          <w:vanish w:val="0"/>
          <w:color w:val="auto"/>
          <w:sz w:val="32"/>
          <w:szCs w:val="32"/>
        </w:rPr>
        <w:t>https://www.zhanjiang.gov.cn/jrj/gkmlpt/content/1/1400/post_1400979.html#1023</w:t>
      </w:r>
      <w:r>
        <w:rPr>
          <w:rStyle w:val="8"/>
          <w:rFonts w:hint="eastAsia" w:ascii="CESI仿宋-GB2312" w:hAnsi="CESI仿宋-GB2312" w:eastAsia="CESI仿宋-GB2312" w:cs="CESI仿宋-GB2312"/>
          <w:b w:val="0"/>
          <w:bCs w:val="0"/>
          <w:vanish w:val="0"/>
          <w:color w:val="auto"/>
          <w:sz w:val="32"/>
          <w:szCs w:val="32"/>
        </w:rPr>
        <w:fldChar w:fldCharType="end"/>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黑体-GB2312" w:hAnsi="CESI黑体-GB2312" w:eastAsia="CESI黑体-GB2312" w:cs="CESI黑体-GB2312"/>
          <w:b w:val="0"/>
          <w:bCs w:val="0"/>
          <w:vanish w:val="0"/>
          <w:color w:val="424242"/>
          <w:sz w:val="32"/>
          <w:szCs w:val="32"/>
        </w:rPr>
      </w:pPr>
      <w:r>
        <w:rPr>
          <w:rFonts w:hint="eastAsia" w:ascii="CESI黑体-GB2312" w:hAnsi="CESI黑体-GB2312" w:eastAsia="CESI黑体-GB2312" w:cs="CESI黑体-GB2312"/>
          <w:b w:val="0"/>
          <w:bCs w:val="0"/>
          <w:vanish w:val="0"/>
          <w:color w:val="424242"/>
          <w:sz w:val="32"/>
          <w:szCs w:val="32"/>
        </w:rPr>
        <w:t>四、湛江市鼓励企业利用资本市场上市融资奖励办法</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vanish w:val="0"/>
          <w:color w:val="auto"/>
          <w:sz w:val="32"/>
          <w:szCs w:val="32"/>
        </w:rPr>
      </w:pPr>
      <w:r>
        <w:rPr>
          <w:rFonts w:hint="eastAsia" w:ascii="CESI仿宋-GB2312" w:hAnsi="CESI仿宋-GB2312" w:eastAsia="CESI仿宋-GB2312" w:cs="CESI仿宋-GB2312"/>
          <w:b w:val="0"/>
          <w:bCs w:val="0"/>
          <w:vanish w:val="0"/>
          <w:color w:val="auto"/>
          <w:sz w:val="32"/>
          <w:szCs w:val="32"/>
        </w:rPr>
        <w:t>发布日期：2020年1月22日</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政策背景：为鼓励我市企业提升自主创新能力，利用多层次资本市场融资发展，促进企业做优做强，根据国务院《关于进一步促进资本市场健康发展的若干意见》（国发〔2014〕17号）、《广东省人民政府办公厅关于印发&lt;广东省推进普惠金融发展实施方案（2016-2020年）&gt;的通知》（粤府办〔2016〕132号）、《中共湛江市委关于加快建设省域副中心城市打造现代化沿海经济带重要发展极的决定》（湛发〔2019〕2号）和《中共湛江市委 湛江市人民政府关于鼓励和支持骨干企业壮大规模增强实力的指导意见》（湛发〔2014〕3号）等文件精神，制定本办法。</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原文链接（附政策解读）：</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vanish w:val="0"/>
          <w:color w:val="424242"/>
        </w:rPr>
      </w:pPr>
      <w:r>
        <w:rPr>
          <w:rStyle w:val="8"/>
          <w:rFonts w:hint="eastAsia" w:ascii="CESI仿宋-GB2312" w:hAnsi="CESI仿宋-GB2312" w:eastAsia="CESI仿宋-GB2312" w:cs="CESI仿宋-GB2312"/>
          <w:b w:val="0"/>
          <w:bCs w:val="0"/>
          <w:vanish w:val="0"/>
          <w:color w:val="auto"/>
          <w:sz w:val="32"/>
          <w:szCs w:val="32"/>
        </w:rPr>
        <w:fldChar w:fldCharType="begin"/>
      </w:r>
      <w:r>
        <w:rPr>
          <w:rFonts w:hint="eastAsia" w:ascii="CESI仿宋-GB2312" w:hAnsi="CESI仿宋-GB2312" w:eastAsia="CESI仿宋-GB2312" w:cs="CESI仿宋-GB2312"/>
          <w:color w:val="auto"/>
          <w:sz w:val="32"/>
          <w:szCs w:val="32"/>
        </w:rPr>
        <w:instrText xml:space="preserve">HYPERLINK "https://www.zhanjiang.gov.cn/jrj/gkmlpt/content/1/1400/post_1400969.html#1024"</w:instrText>
      </w:r>
      <w:r>
        <w:rPr>
          <w:rStyle w:val="8"/>
          <w:rFonts w:hint="eastAsia" w:ascii="CESI仿宋-GB2312" w:hAnsi="CESI仿宋-GB2312" w:eastAsia="CESI仿宋-GB2312" w:cs="CESI仿宋-GB2312"/>
          <w:b w:val="0"/>
          <w:bCs w:val="0"/>
          <w:vanish w:val="0"/>
          <w:color w:val="auto"/>
          <w:sz w:val="32"/>
          <w:szCs w:val="32"/>
        </w:rPr>
        <w:fldChar w:fldCharType="separate"/>
      </w:r>
      <w:r>
        <w:rPr>
          <w:rStyle w:val="8"/>
          <w:rFonts w:hint="eastAsia" w:ascii="CESI仿宋-GB2312" w:hAnsi="CESI仿宋-GB2312" w:eastAsia="CESI仿宋-GB2312" w:cs="CESI仿宋-GB2312"/>
          <w:b w:val="0"/>
          <w:bCs w:val="0"/>
          <w:vanish w:val="0"/>
          <w:color w:val="auto"/>
          <w:sz w:val="32"/>
          <w:szCs w:val="32"/>
        </w:rPr>
        <w:t>https://www.zhanjiang.gov.cn/jrj/gkmlpt/content/1/1400/post_1400969.html#1024</w:t>
      </w:r>
      <w:r>
        <w:rPr>
          <w:rStyle w:val="8"/>
          <w:rFonts w:hint="eastAsia" w:ascii="CESI仿宋-GB2312" w:hAnsi="CESI仿宋-GB2312" w:eastAsia="CESI仿宋-GB2312" w:cs="CESI仿宋-GB2312"/>
          <w:b w:val="0"/>
          <w:bCs w:val="0"/>
          <w:vanish w:val="0"/>
          <w:color w:val="auto"/>
          <w:sz w:val="32"/>
          <w:szCs w:val="32"/>
        </w:rPr>
        <w:fldChar w:fldCharType="end"/>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黑体-GB2312" w:hAnsi="CESI黑体-GB2312" w:eastAsia="CESI黑体-GB2312" w:cs="CESI黑体-GB2312"/>
          <w:b w:val="0"/>
          <w:bCs w:val="0"/>
          <w:vanish w:val="0"/>
          <w:color w:val="424242"/>
          <w:sz w:val="32"/>
          <w:szCs w:val="32"/>
        </w:rPr>
      </w:pPr>
      <w:r>
        <w:rPr>
          <w:rFonts w:hint="eastAsia" w:ascii="CESI黑体-GB2312" w:hAnsi="CESI黑体-GB2312" w:eastAsia="CESI黑体-GB2312" w:cs="CESI黑体-GB2312"/>
          <w:b w:val="0"/>
          <w:bCs w:val="0"/>
          <w:vanish w:val="0"/>
          <w:color w:val="424242"/>
          <w:sz w:val="32"/>
          <w:szCs w:val="32"/>
        </w:rPr>
        <w:t>五、湛江市金融工作局关于湛江市中小微企业转贷资金管理办法</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发布日期：2022年9月30日</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政策背景：为积极发挥财政资金杠杆扶持作用，缓解企业短期资金周转压力，努力缓解企业融资难、融资贵问题，决定设立湛江市中小微企业转贷资金。为规范转贷资金的使用和管理，结合我市实际，制定本办法。</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原文链接（附政策解读）：</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vanish w:val="0"/>
          <w:color w:val="auto"/>
          <w:sz w:val="32"/>
          <w:szCs w:val="32"/>
        </w:rPr>
      </w:pPr>
      <w:r>
        <w:rPr>
          <w:rStyle w:val="8"/>
          <w:rFonts w:hint="eastAsia" w:ascii="CESI仿宋-GB2312" w:hAnsi="CESI仿宋-GB2312" w:eastAsia="CESI仿宋-GB2312" w:cs="CESI仿宋-GB2312"/>
          <w:b w:val="0"/>
          <w:bCs w:val="0"/>
          <w:vanish w:val="0"/>
          <w:color w:val="auto"/>
          <w:sz w:val="32"/>
          <w:szCs w:val="32"/>
        </w:rPr>
        <w:fldChar w:fldCharType="begin"/>
      </w:r>
      <w:r>
        <w:rPr>
          <w:rFonts w:hint="eastAsia" w:ascii="CESI仿宋-GB2312" w:hAnsi="CESI仿宋-GB2312" w:eastAsia="CESI仿宋-GB2312" w:cs="CESI仿宋-GB2312"/>
          <w:color w:val="auto"/>
          <w:sz w:val="32"/>
          <w:szCs w:val="32"/>
        </w:rPr>
        <w:instrText xml:space="preserve">HYPERLINK "https://www.zhanjiang.gov.cn/jrj/gkmlpt/content/1/1674/post_1674553.html#1023"</w:instrText>
      </w:r>
      <w:r>
        <w:rPr>
          <w:rStyle w:val="8"/>
          <w:rFonts w:hint="eastAsia" w:ascii="CESI仿宋-GB2312" w:hAnsi="CESI仿宋-GB2312" w:eastAsia="CESI仿宋-GB2312" w:cs="CESI仿宋-GB2312"/>
          <w:b w:val="0"/>
          <w:bCs w:val="0"/>
          <w:vanish w:val="0"/>
          <w:color w:val="auto"/>
          <w:sz w:val="32"/>
          <w:szCs w:val="32"/>
        </w:rPr>
        <w:fldChar w:fldCharType="separate"/>
      </w:r>
      <w:r>
        <w:rPr>
          <w:rStyle w:val="8"/>
          <w:rFonts w:hint="eastAsia" w:ascii="CESI仿宋-GB2312" w:hAnsi="CESI仿宋-GB2312" w:eastAsia="CESI仿宋-GB2312" w:cs="CESI仿宋-GB2312"/>
          <w:b w:val="0"/>
          <w:bCs w:val="0"/>
          <w:vanish w:val="0"/>
          <w:color w:val="auto"/>
          <w:sz w:val="32"/>
          <w:szCs w:val="32"/>
        </w:rPr>
        <w:t>https://www.zhanjiang.gov.cn/jrj/gkmlpt/content/1/1674/post_1674553.html#1023</w:t>
      </w:r>
      <w:r>
        <w:rPr>
          <w:rStyle w:val="8"/>
          <w:rFonts w:hint="eastAsia" w:ascii="CESI仿宋-GB2312" w:hAnsi="CESI仿宋-GB2312" w:eastAsia="CESI仿宋-GB2312" w:cs="CESI仿宋-GB2312"/>
          <w:b w:val="0"/>
          <w:bCs w:val="0"/>
          <w:vanish w:val="0"/>
          <w:color w:val="auto"/>
          <w:sz w:val="32"/>
          <w:szCs w:val="32"/>
        </w:rPr>
        <w:fldChar w:fldCharType="end"/>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黑体-GB2312" w:hAnsi="CESI黑体-GB2312" w:eastAsia="CESI黑体-GB2312" w:cs="CESI黑体-GB2312"/>
          <w:b w:val="0"/>
          <w:bCs w:val="0"/>
          <w:vanish w:val="0"/>
          <w:color w:val="424242"/>
          <w:sz w:val="32"/>
          <w:szCs w:val="32"/>
        </w:rPr>
      </w:pPr>
      <w:r>
        <w:rPr>
          <w:rFonts w:hint="eastAsia" w:ascii="CESI黑体-GB2312" w:hAnsi="CESI黑体-GB2312" w:eastAsia="CESI黑体-GB2312" w:cs="CESI黑体-GB2312"/>
          <w:b w:val="0"/>
          <w:bCs w:val="0"/>
          <w:vanish w:val="0"/>
          <w:color w:val="424242"/>
          <w:sz w:val="32"/>
          <w:szCs w:val="32"/>
        </w:rPr>
        <w:t>六、湛江市深化民营和小微企业金融服务综合改革试点城市奖励资金使用管理工作方案</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vanish w:val="0"/>
          <w:color w:val="auto"/>
          <w:sz w:val="32"/>
          <w:szCs w:val="32"/>
        </w:rPr>
      </w:pPr>
      <w:r>
        <w:rPr>
          <w:rFonts w:hint="eastAsia" w:ascii="CESI仿宋-GB2312" w:hAnsi="CESI仿宋-GB2312" w:eastAsia="CESI仿宋-GB2312" w:cs="CESI仿宋-GB2312"/>
          <w:b w:val="0"/>
          <w:bCs w:val="0"/>
          <w:vanish w:val="0"/>
          <w:color w:val="auto"/>
          <w:sz w:val="32"/>
          <w:szCs w:val="32"/>
        </w:rPr>
        <w:t>发布日期：2020年9月30日</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政策背景：湛江市2020年成功获得中央财政普惠金融发展专项资金支持深化民营和小微企业金融服务综合改革试点城市的奖励资金3000万元。</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根据《财政部 科技部 工业和信息化部 人民银行 银保监会关于开展财政支持深化民营和小微企业金融服务综合改革试点城市工作的通知》（财金〔2019〕62号，以下简称“财政部62号文”），明年（即2021年）初，省财政厅牵头对湛江市试点工作进行绩效评价，财政部根据工作需要对绩效评价结果进行抽评，对于绩效评价或抽评结果分值低于70分的试点城市，取消试点资格，追回全部奖励资金。</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原文链接：</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vanish w:val="0"/>
          <w:color w:val="auto"/>
          <w:sz w:val="32"/>
          <w:szCs w:val="32"/>
        </w:rPr>
      </w:pPr>
      <w:r>
        <w:rPr>
          <w:rStyle w:val="8"/>
          <w:rFonts w:hint="eastAsia" w:ascii="CESI仿宋-GB2312" w:hAnsi="CESI仿宋-GB2312" w:eastAsia="CESI仿宋-GB2312" w:cs="CESI仿宋-GB2312"/>
          <w:b w:val="0"/>
          <w:bCs w:val="0"/>
          <w:vanish w:val="0"/>
          <w:color w:val="auto"/>
          <w:sz w:val="32"/>
          <w:szCs w:val="32"/>
        </w:rPr>
        <w:fldChar w:fldCharType="begin"/>
      </w:r>
      <w:r>
        <w:rPr>
          <w:rFonts w:hint="eastAsia" w:ascii="CESI仿宋-GB2312" w:hAnsi="CESI仿宋-GB2312" w:eastAsia="CESI仿宋-GB2312" w:cs="CESI仿宋-GB2312"/>
          <w:color w:val="auto"/>
          <w:sz w:val="32"/>
          <w:szCs w:val="32"/>
        </w:rPr>
        <w:instrText xml:space="preserve">HYPERLINK "https://www.zhanjiang.gov.cn/jrj/gkmlpt/content/1/1767/post_1767863.html#1024"</w:instrText>
      </w:r>
      <w:r>
        <w:rPr>
          <w:rStyle w:val="8"/>
          <w:rFonts w:hint="eastAsia" w:ascii="CESI仿宋-GB2312" w:hAnsi="CESI仿宋-GB2312" w:eastAsia="CESI仿宋-GB2312" w:cs="CESI仿宋-GB2312"/>
          <w:b w:val="0"/>
          <w:bCs w:val="0"/>
          <w:vanish w:val="0"/>
          <w:color w:val="auto"/>
          <w:sz w:val="32"/>
          <w:szCs w:val="32"/>
        </w:rPr>
        <w:fldChar w:fldCharType="separate"/>
      </w:r>
      <w:r>
        <w:rPr>
          <w:rStyle w:val="8"/>
          <w:rFonts w:hint="eastAsia" w:ascii="CESI仿宋-GB2312" w:hAnsi="CESI仿宋-GB2312" w:eastAsia="CESI仿宋-GB2312" w:cs="CESI仿宋-GB2312"/>
          <w:b w:val="0"/>
          <w:bCs w:val="0"/>
          <w:vanish w:val="0"/>
          <w:color w:val="auto"/>
          <w:sz w:val="32"/>
          <w:szCs w:val="32"/>
        </w:rPr>
        <w:t>https://www.zhanjiang.gov.cn/jrj/gkmlpt/content/1/1767/post_1767863.html#1024</w:t>
      </w:r>
      <w:r>
        <w:rPr>
          <w:rStyle w:val="8"/>
          <w:rFonts w:hint="eastAsia" w:ascii="CESI仿宋-GB2312" w:hAnsi="CESI仿宋-GB2312" w:eastAsia="CESI仿宋-GB2312" w:cs="CESI仿宋-GB2312"/>
          <w:b w:val="0"/>
          <w:bCs w:val="0"/>
          <w:vanish w:val="0"/>
          <w:color w:val="auto"/>
          <w:sz w:val="32"/>
          <w:szCs w:val="32"/>
        </w:rPr>
        <w:fldChar w:fldCharType="end"/>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黑体-GB2312" w:hAnsi="CESI黑体-GB2312" w:eastAsia="CESI黑体-GB2312" w:cs="CESI黑体-GB2312"/>
          <w:b w:val="0"/>
          <w:bCs w:val="0"/>
          <w:vanish w:val="0"/>
          <w:color w:val="424242"/>
          <w:sz w:val="32"/>
          <w:szCs w:val="32"/>
        </w:rPr>
      </w:pPr>
      <w:r>
        <w:rPr>
          <w:rFonts w:hint="eastAsia" w:ascii="CESI黑体-GB2312" w:hAnsi="CESI黑体-GB2312" w:eastAsia="CESI黑体-GB2312" w:cs="CESI黑体-GB2312"/>
          <w:b w:val="0"/>
          <w:bCs w:val="0"/>
          <w:vanish w:val="0"/>
          <w:color w:val="424242"/>
          <w:sz w:val="32"/>
          <w:szCs w:val="32"/>
        </w:rPr>
        <w:t>七、非法集资举报奖励办法</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vanish w:val="0"/>
          <w:color w:val="auto"/>
          <w:sz w:val="32"/>
          <w:szCs w:val="32"/>
        </w:rPr>
      </w:pPr>
      <w:bookmarkStart w:id="0" w:name="_GoBack"/>
      <w:r>
        <w:rPr>
          <w:rFonts w:hint="eastAsia" w:ascii="CESI仿宋-GB2312" w:hAnsi="CESI仿宋-GB2312" w:eastAsia="CESI仿宋-GB2312" w:cs="CESI仿宋-GB2312"/>
          <w:b w:val="0"/>
          <w:bCs w:val="0"/>
          <w:vanish w:val="0"/>
          <w:color w:val="auto"/>
          <w:sz w:val="32"/>
          <w:szCs w:val="32"/>
        </w:rPr>
        <w:t>发布日期：2020年5月8日</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vanish w:val="0"/>
          <w:color w:val="auto"/>
          <w:sz w:val="32"/>
          <w:szCs w:val="32"/>
        </w:rPr>
      </w:pPr>
      <w:r>
        <w:rPr>
          <w:rFonts w:hint="eastAsia" w:ascii="CESI仿宋-GB2312" w:hAnsi="CESI仿宋-GB2312" w:eastAsia="CESI仿宋-GB2312" w:cs="CESI仿宋-GB2312"/>
          <w:b w:val="0"/>
          <w:bCs w:val="0"/>
          <w:vanish w:val="0"/>
          <w:color w:val="auto"/>
          <w:sz w:val="32"/>
          <w:szCs w:val="32"/>
        </w:rPr>
        <w:t>政策背景：为鼓励广大群众积极提供非法集资线索，有效打击非法集资行为，根据相关法律、法规以及《国务院关于进一步做好防范和处置非法集资工作的意见》（国发〔2015〕59号）、《非法集资举报奖励办法》（处非联函〔2016〕6号）精神，结合我省市级，制定本实施细则。</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原文链接：</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vanish w:val="0"/>
          <w:color w:val="auto"/>
          <w:sz w:val="32"/>
          <w:szCs w:val="32"/>
        </w:rPr>
      </w:pPr>
      <w:r>
        <w:rPr>
          <w:rStyle w:val="8"/>
          <w:rFonts w:hint="eastAsia" w:ascii="CESI仿宋-GB2312" w:hAnsi="CESI仿宋-GB2312" w:eastAsia="CESI仿宋-GB2312" w:cs="CESI仿宋-GB2312"/>
          <w:b w:val="0"/>
          <w:bCs w:val="0"/>
          <w:vanish w:val="0"/>
          <w:color w:val="auto"/>
          <w:sz w:val="32"/>
          <w:szCs w:val="32"/>
        </w:rPr>
        <w:fldChar w:fldCharType="begin"/>
      </w:r>
      <w:r>
        <w:rPr>
          <w:rFonts w:hint="eastAsia" w:ascii="CESI仿宋-GB2312" w:hAnsi="CESI仿宋-GB2312" w:eastAsia="CESI仿宋-GB2312" w:cs="CESI仿宋-GB2312"/>
          <w:color w:val="auto"/>
          <w:sz w:val="32"/>
          <w:szCs w:val="32"/>
        </w:rPr>
        <w:instrText xml:space="preserve">HYPERLINK "https://www.zhanjiang.gov.cn/jrj/gkmlpt/content/1/1400/post_1400973.html#1024"</w:instrText>
      </w:r>
      <w:r>
        <w:rPr>
          <w:rStyle w:val="8"/>
          <w:rFonts w:hint="eastAsia" w:ascii="CESI仿宋-GB2312" w:hAnsi="CESI仿宋-GB2312" w:eastAsia="CESI仿宋-GB2312" w:cs="CESI仿宋-GB2312"/>
          <w:b w:val="0"/>
          <w:bCs w:val="0"/>
          <w:vanish w:val="0"/>
          <w:color w:val="auto"/>
          <w:sz w:val="32"/>
          <w:szCs w:val="32"/>
        </w:rPr>
        <w:fldChar w:fldCharType="separate"/>
      </w:r>
      <w:r>
        <w:rPr>
          <w:rStyle w:val="8"/>
          <w:rFonts w:hint="eastAsia" w:ascii="CESI仿宋-GB2312" w:hAnsi="CESI仿宋-GB2312" w:eastAsia="CESI仿宋-GB2312" w:cs="CESI仿宋-GB2312"/>
          <w:b w:val="0"/>
          <w:bCs w:val="0"/>
          <w:vanish w:val="0"/>
          <w:color w:val="auto"/>
          <w:sz w:val="32"/>
          <w:szCs w:val="32"/>
        </w:rPr>
        <w:t>https://www.zhanjiang.gov.cn/jrj/gkmlpt/content/1/1400/post_1400973.html#1024</w:t>
      </w:r>
      <w:r>
        <w:rPr>
          <w:rStyle w:val="8"/>
          <w:rFonts w:hint="eastAsia" w:ascii="CESI仿宋-GB2312" w:hAnsi="CESI仿宋-GB2312" w:eastAsia="CESI仿宋-GB2312" w:cs="CESI仿宋-GB2312"/>
          <w:b w:val="0"/>
          <w:bCs w:val="0"/>
          <w:vanish w:val="0"/>
          <w:color w:val="auto"/>
          <w:sz w:val="32"/>
          <w:szCs w:val="32"/>
        </w:rPr>
        <w:fldChar w:fldCharType="end"/>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b w:val="0"/>
          <w:bCs w:val="0"/>
          <w:vanish w:val="0"/>
          <w:color w:val="auto"/>
          <w:sz w:val="32"/>
          <w:szCs w:val="32"/>
        </w:rPr>
      </w:pPr>
      <w:r>
        <w:rPr>
          <w:rFonts w:hint="eastAsia" w:ascii="CESI仿宋-GB2312" w:hAnsi="CESI仿宋-GB2312" w:eastAsia="CESI仿宋-GB2312" w:cs="CESI仿宋-GB2312"/>
          <w:b w:val="0"/>
          <w:bCs w:val="0"/>
          <w:vanish w:val="0"/>
          <w:color w:val="auto"/>
          <w:sz w:val="32"/>
          <w:szCs w:val="32"/>
        </w:rPr>
        <w:t>政策解读：</w:t>
      </w:r>
    </w:p>
    <w:p>
      <w:pPr>
        <w:pBdr>
          <w:top w:val="none" w:color="auto" w:sz="0" w:space="0"/>
          <w:left w:val="none" w:color="auto" w:sz="0" w:space="0"/>
          <w:bottom w:val="none" w:color="auto" w:sz="0" w:space="0"/>
          <w:right w:val="none" w:color="auto" w:sz="0" w:space="0"/>
        </w:pBdr>
        <w:wordWrap w:val="0"/>
        <w:spacing w:before="0" w:beforeAutospacing="0" w:after="0" w:afterAutospacing="0" w:line="604" w:lineRule="atLeast"/>
        <w:ind w:left="0" w:right="0" w:firstLine="633"/>
        <w:rPr>
          <w:rFonts w:hint="eastAsia" w:ascii="CESI仿宋-GB2312" w:hAnsi="CESI仿宋-GB2312" w:eastAsia="CESI仿宋-GB2312" w:cs="CESI仿宋-GB2312"/>
          <w:vanish w:val="0"/>
          <w:color w:val="auto"/>
          <w:sz w:val="32"/>
          <w:szCs w:val="32"/>
        </w:rPr>
      </w:pPr>
      <w:r>
        <w:rPr>
          <w:rStyle w:val="8"/>
          <w:rFonts w:hint="eastAsia" w:ascii="CESI仿宋-GB2312" w:hAnsi="CESI仿宋-GB2312" w:eastAsia="CESI仿宋-GB2312" w:cs="CESI仿宋-GB2312"/>
          <w:b w:val="0"/>
          <w:bCs w:val="0"/>
          <w:vanish w:val="0"/>
          <w:color w:val="auto"/>
          <w:sz w:val="32"/>
          <w:szCs w:val="32"/>
        </w:rPr>
        <w:fldChar w:fldCharType="begin"/>
      </w:r>
      <w:r>
        <w:rPr>
          <w:rFonts w:hint="eastAsia" w:ascii="CESI仿宋-GB2312" w:hAnsi="CESI仿宋-GB2312" w:eastAsia="CESI仿宋-GB2312" w:cs="CESI仿宋-GB2312"/>
          <w:color w:val="auto"/>
          <w:sz w:val="32"/>
          <w:szCs w:val="32"/>
        </w:rPr>
        <w:instrText xml:space="preserve">HYPERLINK "https://www.zhanjiang.gov.cn/jrj/gkmlpt/content/1/1400/post_1400975.html#1024"</w:instrText>
      </w:r>
      <w:r>
        <w:rPr>
          <w:rStyle w:val="8"/>
          <w:rFonts w:hint="eastAsia" w:ascii="CESI仿宋-GB2312" w:hAnsi="CESI仿宋-GB2312" w:eastAsia="CESI仿宋-GB2312" w:cs="CESI仿宋-GB2312"/>
          <w:b w:val="0"/>
          <w:bCs w:val="0"/>
          <w:vanish w:val="0"/>
          <w:color w:val="auto"/>
          <w:sz w:val="32"/>
          <w:szCs w:val="32"/>
        </w:rPr>
        <w:fldChar w:fldCharType="separate"/>
      </w:r>
      <w:r>
        <w:rPr>
          <w:rStyle w:val="8"/>
          <w:rFonts w:hint="eastAsia" w:ascii="CESI仿宋-GB2312" w:hAnsi="CESI仿宋-GB2312" w:eastAsia="CESI仿宋-GB2312" w:cs="CESI仿宋-GB2312"/>
          <w:b w:val="0"/>
          <w:bCs w:val="0"/>
          <w:vanish w:val="0"/>
          <w:color w:val="auto"/>
          <w:sz w:val="32"/>
          <w:szCs w:val="32"/>
        </w:rPr>
        <w:t>https://www.zhanjiang.gov.cn/jrj/gkmlpt/content/1/1400/post_1400975.html#1024</w:t>
      </w:r>
      <w:r>
        <w:rPr>
          <w:rStyle w:val="8"/>
          <w:rFonts w:hint="eastAsia" w:ascii="CESI仿宋-GB2312" w:hAnsi="CESI仿宋-GB2312" w:eastAsia="CESI仿宋-GB2312" w:cs="CESI仿宋-GB2312"/>
          <w:b w:val="0"/>
          <w:bCs w:val="0"/>
          <w:vanish w:val="0"/>
          <w:color w:val="auto"/>
          <w:sz w:val="32"/>
          <w:szCs w:val="32"/>
        </w:rPr>
        <w:fldChar w:fldCharType="end"/>
      </w:r>
      <w:bookmarkEnd w:id="0"/>
    </w:p>
    <w:p>
      <w:pPr>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b w:val="0"/>
          <w:bCs w:val="0"/>
          <w:vanish w:val="0"/>
          <w:color w:val="auto"/>
          <w:sz w:val="32"/>
          <w:szCs w:val="32"/>
        </w:rPr>
        <w:br w:type="textWrapping"/>
      </w:r>
    </w:p>
    <w:sectPr>
      <w:pgSz w:w="11907" w:h="16839"/>
      <w:pgMar w:top="1440" w:right="1800" w:bottom="1440" w:left="1800" w:header="851" w:footer="992"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ucida Sans">
    <w:altName w:val="Noto Music"/>
    <w:panose1 w:val="020B0602030504020204"/>
    <w:charset w:val="00"/>
    <w:family w:val="auto"/>
    <w:pitch w:val="default"/>
    <w:sig w:usb0="00000000" w:usb1="00000000" w:usb2="00000000" w:usb3="00000000" w:csb0="20000001" w:csb1="00000000"/>
  </w:font>
  <w:font w:name="方正兰亭黑_GBK">
    <w:altName w:val="方正黑体_GBK"/>
    <w:panose1 w:val="02000000000000000000"/>
    <w:charset w:val="86"/>
    <w:family w:val="script"/>
    <w:pitch w:val="default"/>
    <w:sig w:usb0="00000000" w:usb1="00000000" w:usb2="0008001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oto Music">
    <w:panose1 w:val="020B0502040504020204"/>
    <w:charset w:val="00"/>
    <w:family w:val="auto"/>
    <w:pitch w:val="default"/>
    <w:sig w:usb0="00000003" w:usb1="02006000" w:usb2="01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balanceSingleByteDoubleByteWidth/>
    <w:ulTrailSpace/>
    <w:doNotExpandShiftReturn/>
    <w:adjustLineHeightInTable/>
    <w:useFELayout/>
    <w:compatSetting w:name="compatibilityMode" w:uri="http://schemas.microsoft.com/office/word" w:val="15"/>
  </w:compat>
  <w:rsids>
    <w:rsidRoot w:val="00000000"/>
    <w:rsid w:val="FEDFE3F1"/>
    <w:rsid w:val="FFEE23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方正兰亭黑_GBK" w:eastAsia="宋体" w:cs="Lucida Sans"/>
      <w:kern w:val="2"/>
      <w:sz w:val="24"/>
      <w:szCs w:val="21"/>
      <w:lang w:val="en-US" w:eastAsia="zh-CN" w:bidi="ar-SA"/>
    </w:rPr>
  </w:style>
  <w:style w:type="paragraph" w:styleId="2">
    <w:name w:val="heading 1"/>
    <w:basedOn w:val="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0"/>
    </w:pPr>
    <w:rPr>
      <w:rFonts w:ascii="宋体" w:hAnsi="方正兰亭黑_GBK" w:eastAsia="宋体"/>
      <w:b/>
      <w:snapToGrid/>
      <w:color w:val="auto"/>
      <w:spacing w:val="0"/>
      <w:w w:val="100"/>
      <w:kern w:val="36"/>
      <w:position w:val="0"/>
      <w:sz w:val="48"/>
      <w:szCs w:val="21"/>
      <w:u w:val="none" w:color="auto"/>
      <w:vertAlign w:val="baseline"/>
      <w:lang w:val="en-US" w:eastAsia="zh-CN" w:bidi="ar-SA"/>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7">
    <w:name w:val="FollowedHyperlink"/>
    <w:basedOn w:val="6"/>
    <w:qFormat/>
    <w:uiPriority w:val="0"/>
    <w:rPr>
      <w:color w:val="800080"/>
      <w:u w:val="single"/>
    </w:rPr>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0</Words>
  <Characters>1685</Characters>
  <Lines>0</Lines>
  <Paragraphs>42</Paragraphs>
  <TotalTime>13</TotalTime>
  <ScaleCrop>false</ScaleCrop>
  <LinksUpToDate>false</LinksUpToDate>
  <CharactersWithSpaces>2247</CharactersWithSpaces>
  <Application>WPS Office_11.8.2.9695_F1E327BC-269C-435d-A152-05C5408002CA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2024-03-21T18:15:00Z</dcterms:created>
  <dc:creator>SXZF005</dc:creator>
  <cp:lastModifiedBy>admin</cp:lastModifiedBy>
  <dcterms:modified xsi:type="dcterms:W3CDTF">2024-03-21T10:35:53Z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