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</w:rPr>
        <w:t>双季稻轮作协议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jc w:val="both"/>
        <w:textAlignment w:val="auto"/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为切实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好耕地轮作试点工作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按中央和省的相关要求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结合本县实际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经甲乙双方商议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协议如下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一、轮作面积与地块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乙方自愿参加双季稻轮作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位于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亩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的耕地进行双季稻轮作。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二、轮作时间与期限。轮作时间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为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  <w:t>至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月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，地块不变，连续轮作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三、轮作技术要求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乙方必须按甲方技术要求组织实施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接受服从甲方的监管、技术指导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接受甲方与上级部门的验收检查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轮作地块必须种植双季稻加一季冬种，可以是稻稻薯、稻稻菜等。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四、补助内容和方式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乙方完成双季稻轮作任务后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甲方给予乙方一次性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的补助。补助方式为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五、技术指导与检查验收。甲方负责对乙方提供双季稻轮作技术指导服务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在轮作周期结束前组织检查验收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乙方不按甲方技术要求实施的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违反双季稻轮作规定要求的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视为违反本协议约定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不能享受相关补助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六、本协议自甲乙双方签字或盖章之日起生效。轮作期间因国家政策发生重大变化或调整导致不能执行本协议的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本协议自然终止或解除。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七、本协议一式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</w:rPr>
        <w:t>份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甲方、乙方各执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</w:rPr>
        <w:t>份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协议文本在各村、镇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（街）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和县级农业农村部门存档备查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八、未尽事宜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甲乙双方协商解决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：（盖章）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乙方：（盖章）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甲方代表签名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乙方代表签名：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日期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日期：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DU4YzVhM2RkYTRlNzIxYjAzYmM0Y2E0N2VlYTYifQ=="/>
  </w:docVars>
  <w:rsids>
    <w:rsidRoot w:val="00000000"/>
    <w:rsid w:val="01DA55EE"/>
    <w:rsid w:val="03CB2EFA"/>
    <w:rsid w:val="05137986"/>
    <w:rsid w:val="10AF4A06"/>
    <w:rsid w:val="1B391778"/>
    <w:rsid w:val="1B3D5DDD"/>
    <w:rsid w:val="32CE6B16"/>
    <w:rsid w:val="42723645"/>
    <w:rsid w:val="4517434D"/>
    <w:rsid w:val="4B9649EB"/>
    <w:rsid w:val="514542B8"/>
    <w:rsid w:val="521F32FE"/>
    <w:rsid w:val="55A23D0E"/>
    <w:rsid w:val="561D553B"/>
    <w:rsid w:val="57A73F04"/>
    <w:rsid w:val="5EF94FDE"/>
    <w:rsid w:val="62545DA9"/>
    <w:rsid w:val="665D0F16"/>
    <w:rsid w:val="69825989"/>
    <w:rsid w:val="6D5F25FB"/>
    <w:rsid w:val="72C37E1B"/>
    <w:rsid w:val="75EA6D90"/>
    <w:rsid w:val="7AA1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1855</Words>
  <Characters>1942</Characters>
  <Lines>0</Lines>
  <Paragraphs>0</Paragraphs>
  <TotalTime>0</TotalTime>
  <ScaleCrop>false</ScaleCrop>
  <LinksUpToDate>false</LinksUpToDate>
  <CharactersWithSpaces>2155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H.Sir HUA</cp:lastModifiedBy>
  <cp:lastPrinted>2022-06-14T09:15:00Z</cp:lastPrinted>
  <dcterms:modified xsi:type="dcterms:W3CDTF">2023-11-28T05:49:45Z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A492767F646E4A5C8CCFFE97ABB0D798</vt:lpwstr>
  </property>
</Properties>
</file>