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rFonts w:hint="eastAsia"/>
              <w:b/>
              <w:bCs/>
              <w:sz w:val="48"/>
              <w:szCs w:val="48"/>
              <w:lang w:val="zh-CN"/>
            </w:rPr>
            <w:t>界炮镇政府基层政务公开标准目录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_Toc11605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_Toc11605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_Toc8172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_Toc8172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_Toc5071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_Toc5071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_Toc19994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四</w:t>
          </w:r>
          <w:r>
            <w:rPr>
              <w:rFonts w:hint="eastAsia" w:ascii="方正小标宋_GBK" w:hAnsi="方正小标宋_GBK" w:eastAsia="方正小标宋_GBK"/>
              <w:bCs w:val="0"/>
            </w:rPr>
            <w:t>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_Toc19994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_Toc12943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五</w:t>
          </w:r>
          <w:r>
            <w:rPr>
              <w:rFonts w:hint="eastAsia" w:ascii="方正小标宋_GBK" w:hAnsi="方正小标宋_GBK" w:eastAsia="方正小标宋_GBK"/>
              <w:bCs w:val="0"/>
            </w:rPr>
            <w:t>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_Toc12943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_Toc2976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</w:t>
          </w:r>
          <w:r>
            <w:rPr>
              <w:rFonts w:hint="eastAsia" w:ascii="方正小标宋_GBK" w:eastAsia="方正小标宋_GBK"/>
              <w:szCs w:val="30"/>
              <w:lang w:val="en-US" w:eastAsia="zh-CN"/>
            </w:rPr>
            <w:t>六</w:t>
          </w:r>
          <w:r>
            <w:rPr>
              <w:rFonts w:hint="eastAsia" w:ascii="方正小标宋_GBK" w:eastAsia="方正小标宋_GBK"/>
              <w:szCs w:val="30"/>
            </w:rPr>
            <w:t>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_Toc2976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_Toc27599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七</w:t>
          </w:r>
          <w:r>
            <w:rPr>
              <w:rFonts w:hint="eastAsia" w:ascii="方正小标宋_GBK" w:hAnsi="方正小标宋_GBK" w:eastAsia="方正小标宋_GBK"/>
              <w:bCs w:val="0"/>
            </w:rPr>
            <w:t>）就业领域基层政务公开标准目录</w:t>
          </w:r>
          <w:r>
            <w:tab/>
          </w:r>
          <w:r>
            <w:fldChar w:fldCharType="begin"/>
          </w:r>
          <w:r>
            <w:instrText xml:space="preserve"> PAGEREF _Toc27599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_Toc19730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八</w:t>
          </w:r>
          <w:r>
            <w:rPr>
              <w:rFonts w:hint="eastAsia" w:ascii="方正小标宋_GBK" w:hAnsi="方正小标宋_GBK" w:eastAsia="方正小标宋_GBK"/>
              <w:bCs w:val="0"/>
            </w:rPr>
            <w:t>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_Toc19730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_Toc6154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九</w:t>
          </w:r>
          <w:r>
            <w:rPr>
              <w:rFonts w:hint="eastAsia" w:ascii="方正小标宋_GBK" w:hAnsi="方正小标宋_GBK" w:eastAsia="方正小标宋_GBK"/>
              <w:bCs w:val="0"/>
            </w:rPr>
            <w:t>）救灾领域基层政务公开标准目录</w:t>
          </w:r>
          <w:r>
            <w:tab/>
          </w:r>
          <w:r>
            <w:fldChar w:fldCharType="begin"/>
          </w:r>
          <w:r>
            <w:instrText xml:space="preserve"> PAGEREF _Toc6154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_Toc20042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十</w:t>
          </w:r>
          <w:r>
            <w:rPr>
              <w:rFonts w:hint="eastAsia" w:ascii="方正小标宋_GBK" w:hAnsi="方正小标宋_GBK" w:eastAsia="方正小标宋_GBK"/>
              <w:bCs w:val="0"/>
            </w:rPr>
            <w:t>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_Toc20042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_Toc31677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  <w:szCs w:val="28"/>
            </w:rPr>
            <w:t>（十</w:t>
          </w:r>
          <w:r>
            <w:rPr>
              <w:rFonts w:hint="eastAsia" w:ascii="方正小标宋_GBK" w:hAnsi="方正小标宋_GBK" w:eastAsia="方正小标宋_GBK"/>
              <w:bCs w:val="0"/>
              <w:szCs w:val="28"/>
              <w:lang w:val="en-US" w:eastAsia="zh-CN"/>
            </w:rPr>
            <w:t>一</w:t>
          </w:r>
          <w:r>
            <w:rPr>
              <w:rFonts w:hint="eastAsia" w:ascii="方正小标宋_GBK" w:hAnsi="方正小标宋_GBK" w:eastAsia="方正小标宋_GBK"/>
              <w:bCs w:val="0"/>
              <w:szCs w:val="28"/>
            </w:rPr>
            <w:t>）</w:t>
          </w:r>
          <w:r>
            <w:rPr>
              <w:rFonts w:hint="eastAsia" w:ascii="方正小标宋_GBK" w:hAnsi="方正小标宋_GBK" w:eastAsia="方正小标宋_GBK"/>
              <w:bCs w:val="0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_Toc31677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1160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8"/>
      <w:bookmarkStart w:id="2" w:name="_Toc8172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55207544"/>
      <w:bookmarkStart w:id="4" w:name="_Toc507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19994"/>
      <w:bookmarkStart w:id="6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）公共法律服务领域基层政务公开标准目录</w:t>
      </w:r>
      <w:bookmarkEnd w:id="5"/>
      <w:bookmarkEnd w:id="6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1294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五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）公共文化服务领域基层政务公开标准目录</w:t>
      </w:r>
      <w:bookmarkEnd w:id="7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8" w:name="_Toc24724713"/>
      <w:bookmarkStart w:id="9" w:name="_Toc2976"/>
      <w:r>
        <w:rPr>
          <w:rFonts w:hint="eastAsia" w:ascii="方正小标宋_GBK" w:eastAsia="方正小标宋_GBK"/>
          <w:b w:val="0"/>
          <w:sz w:val="30"/>
          <w:szCs w:val="30"/>
        </w:rPr>
        <w:t>（</w:t>
      </w:r>
      <w:r>
        <w:rPr>
          <w:rFonts w:hint="eastAsia" w:ascii="方正小标宋_GBK" w:eastAsia="方正小标宋_GBK"/>
          <w:b w:val="0"/>
          <w:sz w:val="30"/>
          <w:szCs w:val="30"/>
          <w:lang w:val="en-US" w:eastAsia="zh-CN"/>
        </w:rPr>
        <w:t>六</w:t>
      </w:r>
      <w:r>
        <w:rPr>
          <w:rFonts w:hint="eastAsia" w:ascii="方正小标宋_GBK" w:eastAsia="方正小标宋_GBK"/>
          <w:b w:val="0"/>
          <w:sz w:val="30"/>
          <w:szCs w:val="30"/>
        </w:rPr>
        <w:t>）社会保险领域基层政务公开标准目录</w:t>
      </w:r>
      <w:bookmarkEnd w:id="8"/>
      <w:bookmarkEnd w:id="9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0" w:name="_Toc2759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）就业领域基层政务公开标准目录</w:t>
      </w:r>
      <w:bookmarkEnd w:id="10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1" w:name="_Toc1973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八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）卫生健康领域基层政务公开标准目录</w:t>
      </w:r>
      <w:bookmarkEnd w:id="11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2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3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4" w:name="_Toc615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）救灾领域基层政务公开标准目录</w:t>
      </w:r>
      <w:bookmarkEnd w:id="14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5" w:name="_Toc2004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十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）食品药品监管领域基层政务公开标准目录</w:t>
      </w:r>
      <w:bookmarkEnd w:id="15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3167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val="en-US" w:eastAsia="zh-CN"/>
        </w:rPr>
        <w:t>一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6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</w:t>
            </w:r>
            <w:bookmarkStart w:id="17" w:name="_GoBack"/>
            <w:bookmarkEnd w:id="17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《财政部关于印发〈地方预决算公开操作规程〉的通知》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WNiNjM0Yzc1ZTc1ZGI0NzFiZGQ1MTJlMWU3MTk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9DB0029"/>
    <w:rsid w:val="0E630E02"/>
    <w:rsid w:val="27770D55"/>
    <w:rsid w:val="28DE2AE4"/>
    <w:rsid w:val="3B5823A6"/>
    <w:rsid w:val="3B9B5595"/>
    <w:rsid w:val="3DCD7FAD"/>
    <w:rsid w:val="44E30C88"/>
    <w:rsid w:val="45274F2B"/>
    <w:rsid w:val="4E291035"/>
    <w:rsid w:val="503372C1"/>
    <w:rsid w:val="5B3D4B8D"/>
    <w:rsid w:val="716E208B"/>
    <w:rsid w:val="75D409CB"/>
    <w:rsid w:val="7D120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18</Pages>
  <Words>8730</Words>
  <Characters>8895</Characters>
  <Lines>88</Lines>
  <Paragraphs>24</Paragraphs>
  <TotalTime>3</TotalTime>
  <ScaleCrop>false</ScaleCrop>
  <LinksUpToDate>false</LinksUpToDate>
  <CharactersWithSpaces>9995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Administrator</cp:lastModifiedBy>
  <cp:lastPrinted>2020-11-24T07:23:00Z</cp:lastPrinted>
  <dcterms:modified xsi:type="dcterms:W3CDTF">2023-11-27T08:49:49Z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F596B394E4D04D45AD76CD9C567B8FA8</vt:lpwstr>
  </property>
</Properties>
</file>