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rPr>
        <w:t>遂溪县农业水价综合改革</w:t>
      </w:r>
      <w:r>
        <w:rPr>
          <w:rFonts w:hint="eastAsia" w:ascii="宋体" w:hAnsi="宋体" w:eastAsia="宋体" w:cs="宋体"/>
          <w:b/>
          <w:bCs/>
          <w:sz w:val="44"/>
          <w:szCs w:val="44"/>
          <w:lang w:val="en-US" w:eastAsia="zh-CN"/>
        </w:rPr>
        <w:t>大中型灌区</w:t>
      </w:r>
      <w:r>
        <w:rPr>
          <w:rFonts w:hint="eastAsia" w:ascii="宋体" w:hAnsi="宋体" w:eastAsia="宋体" w:cs="宋体"/>
          <w:b/>
          <w:bCs/>
          <w:sz w:val="44"/>
          <w:szCs w:val="44"/>
        </w:rPr>
        <w:t>水价实施方案</w:t>
      </w:r>
      <w:r>
        <w:rPr>
          <w:rFonts w:hint="eastAsia" w:ascii="宋体" w:hAnsi="宋体" w:eastAsia="宋体" w:cs="宋体"/>
          <w:b/>
          <w:bCs/>
          <w:sz w:val="44"/>
          <w:szCs w:val="44"/>
          <w:lang w:val="en-US" w:eastAsia="zh-CN"/>
        </w:rPr>
        <w:t>(试行）</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征求意见稿</w:t>
      </w:r>
      <w:r>
        <w:rPr>
          <w:rFonts w:hint="eastAsia" w:ascii="宋体" w:hAnsi="宋体" w:eastAsia="宋体" w:cs="宋体"/>
          <w:b/>
          <w:bCs/>
          <w:sz w:val="44"/>
          <w:szCs w:val="44"/>
          <w:lang w:eastAsia="zh-CN"/>
        </w:rPr>
        <w:t>）</w:t>
      </w:r>
    </w:p>
    <w:p>
      <w:pPr>
        <w:jc w:val="center"/>
        <w:rPr>
          <w:rFonts w:asciiTheme="majorEastAsia" w:hAnsiTheme="majorEastAsia" w:eastAsiaTheme="majorEastAsia" w:cstheme="majorEastAsia"/>
          <w:b/>
          <w:bCs/>
          <w:sz w:val="44"/>
          <w:szCs w:val="44"/>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国务院办公厅《关于推进农业水价综合改革意见》（国办发〔2016〕2号）和广东省人民政府办公厅《关于印发广东省农业水价综合改革实施方案的通知》（粤府办〔2016〕139号）的部署，我局经过实地调查、到水务局调研等工作，</w:t>
      </w:r>
      <w:r>
        <w:rPr>
          <w:rFonts w:hint="eastAsia" w:ascii="仿宋_GB2312" w:hAnsi="仿宋_GB2312" w:eastAsia="仿宋_GB2312" w:cs="仿宋_GB2312"/>
          <w:color w:val="000000" w:themeColor="text1"/>
          <w:sz w:val="32"/>
          <w:szCs w:val="32"/>
          <w:lang w:val="en-US" w:eastAsia="zh-CN"/>
        </w:rPr>
        <w:t>结合实际</w:t>
      </w:r>
      <w:r>
        <w:rPr>
          <w:rFonts w:hint="eastAsia" w:ascii="仿宋_GB2312" w:hAnsi="仿宋_GB2312" w:eastAsia="仿宋_GB2312" w:cs="仿宋_GB2312"/>
          <w:color w:val="000000" w:themeColor="text1"/>
          <w:sz w:val="32"/>
          <w:szCs w:val="32"/>
        </w:rPr>
        <w:t>，现拟定遂溪县农业水价综合改革</w:t>
      </w:r>
      <w:r>
        <w:rPr>
          <w:rFonts w:hint="eastAsia" w:ascii="仿宋_GB2312" w:hAnsi="仿宋_GB2312" w:eastAsia="仿宋_GB2312" w:cs="仿宋_GB2312"/>
          <w:color w:val="000000" w:themeColor="text1"/>
          <w:sz w:val="32"/>
          <w:szCs w:val="32"/>
          <w:lang w:val="en-US" w:eastAsia="zh-CN"/>
        </w:rPr>
        <w:t>大中型灌区</w:t>
      </w:r>
      <w:r>
        <w:rPr>
          <w:rFonts w:hint="eastAsia" w:ascii="仿宋_GB2312" w:hAnsi="仿宋_GB2312" w:eastAsia="仿宋_GB2312" w:cs="仿宋_GB2312"/>
          <w:color w:val="000000" w:themeColor="text1"/>
          <w:sz w:val="32"/>
          <w:szCs w:val="32"/>
        </w:rPr>
        <w:t>水价实施方案</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试行）</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征求意见稿</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如下：</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黑体" w:cs="仿宋_GB2312"/>
          <w:b w:val="0"/>
          <w:bCs w:val="0"/>
          <w:color w:val="000000" w:themeColor="text1"/>
          <w:sz w:val="32"/>
          <w:szCs w:val="32"/>
          <w:lang w:val="en-US" w:eastAsia="zh-CN"/>
        </w:rPr>
      </w:pPr>
      <w:r>
        <w:rPr>
          <w:rFonts w:hint="eastAsia" w:ascii="黑体" w:hAnsi="黑体" w:eastAsia="黑体" w:cs="黑体"/>
          <w:b w:val="0"/>
          <w:bCs w:val="0"/>
          <w:color w:val="000000" w:themeColor="text1"/>
          <w:sz w:val="32"/>
          <w:szCs w:val="32"/>
        </w:rPr>
        <w:t>一、</w:t>
      </w:r>
      <w:r>
        <w:rPr>
          <w:rFonts w:hint="eastAsia" w:ascii="黑体" w:hAnsi="黑体" w:eastAsia="黑体" w:cs="黑体"/>
          <w:b w:val="0"/>
          <w:bCs w:val="0"/>
          <w:color w:val="000000" w:themeColor="text1"/>
          <w:sz w:val="32"/>
          <w:szCs w:val="32"/>
          <w:lang w:val="en-US" w:eastAsia="zh-CN"/>
        </w:rPr>
        <w:t>实施目标</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b w:val="0"/>
          <w:bCs w:val="0"/>
          <w:color w:val="auto"/>
          <w:sz w:val="32"/>
          <w:szCs w:val="32"/>
          <w:highlight w:val="none"/>
          <w:u w:val="none"/>
          <w:lang w:val="en-US" w:eastAsia="zh-CN"/>
        </w:rPr>
        <w:t>以习近平新时代中国特色社会主义思想为指导，促进农业节水和农业可持续发展，为加快建立资源节约型、环境友好型社会作出更大贡献。</w:t>
      </w:r>
      <w:r>
        <w:rPr>
          <w:rFonts w:hint="eastAsia" w:ascii="仿宋_GB2312" w:hAnsi="仿宋_GB2312" w:eastAsia="仿宋_GB2312" w:cs="仿宋_GB2312"/>
          <w:color w:val="000000" w:themeColor="text1"/>
          <w:sz w:val="32"/>
          <w:szCs w:val="32"/>
        </w:rPr>
        <w:t>水价改革将逐步实现供水计量、农业用水总量指标分解用水主体、田间工程落实管护主体和管护责任，以水价机制为核心、以奖补机制为保障、以工程和计量设施建设为基础、以工程管护机制为依托，使其达到统筹推进农业水价综合改革工作的目的。</w:t>
      </w:r>
    </w:p>
    <w:p>
      <w:pPr>
        <w:pStyle w:val="5"/>
        <w:keepNext w:val="0"/>
        <w:keepLines w:val="0"/>
        <w:pageBreakBefore w:val="0"/>
        <w:kinsoku/>
        <w:wordWrap/>
        <w:overflowPunct/>
        <w:topLinePunct w:val="0"/>
        <w:autoSpaceDE/>
        <w:autoSpaceDN/>
        <w:bidi w:val="0"/>
        <w:adjustRightInd w:val="0"/>
        <w:snapToGrid w:val="0"/>
        <w:spacing w:after="0" w:line="580" w:lineRule="exact"/>
        <w:textAlignment w:val="auto"/>
        <w:rPr>
          <w:rFonts w:hint="eastAsia" w:ascii="黑体" w:hAnsi="黑体" w:eastAsia="黑体" w:cs="黑体"/>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 xml:space="preserve">    </w:t>
      </w:r>
      <w:r>
        <w:rPr>
          <w:rFonts w:hint="eastAsia" w:ascii="黑体" w:hAnsi="黑体" w:eastAsia="黑体" w:cs="黑体"/>
          <w:color w:val="000000" w:themeColor="text1"/>
          <w:sz w:val="32"/>
          <w:szCs w:val="32"/>
          <w:lang w:val="en-US" w:eastAsia="zh-CN"/>
        </w:rPr>
        <w:t>二、总体情况</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beforeAutospacing="0" w:after="0" w:afterLines="0" w:afterAutospacing="0" w:line="580" w:lineRule="exact"/>
        <w:ind w:left="0" w:right="0" w:rightChars="0" w:firstLine="640" w:firstLineChars="200"/>
        <w:jc w:val="both"/>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我县大中型灌区有7个：青年运河灌区、官田水库灌区、旧庙海围灌区、罗马坛水库灌区、山内水库灌区、牛牯海围灌区、元宵屋水闸灌区。改革任务面积63.81万亩，已</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val="en-US" w:eastAsia="zh-CN"/>
        </w:rPr>
        <w:t>改革</w:t>
      </w:r>
      <w:r>
        <w:rPr>
          <w:rFonts w:hint="eastAsia" w:ascii="仿宋_GB2312" w:hAnsi="仿宋_GB2312" w:eastAsia="仿宋_GB2312" w:cs="仿宋_GB2312"/>
          <w:sz w:val="32"/>
          <w:szCs w:val="32"/>
          <w:highlight w:val="none"/>
        </w:rPr>
        <w:t>任务面积</w:t>
      </w:r>
      <w:r>
        <w:rPr>
          <w:rFonts w:hint="eastAsia" w:ascii="仿宋_GB2312" w:hAnsi="仿宋_GB2312" w:eastAsia="仿宋_GB2312" w:cs="仿宋_GB2312"/>
          <w:sz w:val="32"/>
          <w:szCs w:val="32"/>
          <w:highlight w:val="none"/>
          <w:lang w:val="en-US" w:eastAsia="zh-CN"/>
        </w:rPr>
        <w:t>51.06</w:t>
      </w:r>
      <w:r>
        <w:rPr>
          <w:rFonts w:hint="eastAsia" w:ascii="仿宋_GB2312" w:hAnsi="仿宋_GB2312" w:eastAsia="仿宋_GB2312" w:cs="仿宋_GB2312"/>
          <w:sz w:val="32"/>
          <w:szCs w:val="32"/>
          <w:highlight w:val="none"/>
        </w:rPr>
        <w:t>万亩</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其中县水务局完成大中型灌区38.74万亩，县农业农村局完成其他灌区12.32万亩。目前，</w:t>
      </w:r>
      <w:r>
        <w:rPr>
          <w:rFonts w:hint="eastAsia" w:ascii="仿宋_GB2312" w:hAnsi="仿宋_GB2312" w:eastAsia="仿宋_GB2312" w:cs="仿宋_GB2312"/>
          <w:color w:val="000000" w:themeColor="text1"/>
          <w:sz w:val="32"/>
          <w:szCs w:val="32"/>
          <w:lang w:val="en-US" w:eastAsia="zh-CN"/>
        </w:rPr>
        <w:t>大中型灌区</w:t>
      </w:r>
      <w:r>
        <w:rPr>
          <w:rFonts w:hint="eastAsia" w:ascii="仿宋_GB2312" w:hAnsi="仿宋_GB2312" w:eastAsia="仿宋_GB2312" w:cs="仿宋_GB2312"/>
          <w:b w:val="0"/>
          <w:bCs w:val="0"/>
          <w:sz w:val="32"/>
          <w:szCs w:val="32"/>
          <w:lang w:val="en-US" w:eastAsia="zh-CN"/>
        </w:rPr>
        <w:t>安装计量设施400个，其他灌区在每条主渠上配套了量水刻度尺。</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 w:val="0"/>
          <w:bCs w:val="0"/>
          <w:color w:val="000000" w:themeColor="text1"/>
          <w:sz w:val="32"/>
          <w:szCs w:val="32"/>
        </w:rPr>
      </w:pPr>
      <w:r>
        <w:rPr>
          <w:rFonts w:hint="eastAsia" w:ascii="黑体" w:hAnsi="黑体" w:eastAsia="黑体" w:cs="黑体"/>
          <w:b w:val="0"/>
          <w:bCs w:val="0"/>
          <w:color w:val="000000" w:themeColor="text1"/>
          <w:sz w:val="32"/>
          <w:szCs w:val="32"/>
          <w:lang w:val="en-US" w:eastAsia="zh-CN"/>
        </w:rPr>
        <w:t>三</w:t>
      </w:r>
      <w:r>
        <w:rPr>
          <w:rFonts w:hint="eastAsia" w:ascii="黑体" w:hAnsi="黑体" w:eastAsia="黑体" w:cs="黑体"/>
          <w:b w:val="0"/>
          <w:bCs w:val="0"/>
          <w:color w:val="000000" w:themeColor="text1"/>
          <w:sz w:val="32"/>
          <w:szCs w:val="32"/>
        </w:rPr>
        <w:t>、拟定</w:t>
      </w:r>
      <w:r>
        <w:rPr>
          <w:rFonts w:hint="eastAsia" w:ascii="黑体" w:hAnsi="黑体" w:eastAsia="黑体" w:cs="黑体"/>
          <w:b w:val="0"/>
          <w:bCs w:val="0"/>
          <w:color w:val="000000" w:themeColor="text1"/>
          <w:sz w:val="32"/>
          <w:szCs w:val="32"/>
          <w:lang w:val="en-US" w:eastAsia="zh-CN"/>
        </w:rPr>
        <w:t>大中型灌区</w:t>
      </w:r>
      <w:r>
        <w:rPr>
          <w:rFonts w:hint="eastAsia" w:ascii="黑体" w:hAnsi="黑体" w:eastAsia="黑体" w:cs="黑体"/>
          <w:b w:val="0"/>
          <w:bCs w:val="0"/>
          <w:color w:val="000000" w:themeColor="text1"/>
          <w:sz w:val="32"/>
          <w:szCs w:val="32"/>
        </w:rPr>
        <w:t>水价格政策依据</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（一）《中华人民共和国价格法》第十八条规定：重要的公用事业价格、重要的公益性服务价格，可以实行政府指导价或政府定价；第二十条第三项规定</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市、县人民政府可以依据省、自治区、直辖市人民政府的授权，按照地方定价目录规定的定价权限和具体适用范围制定在本地区执行的政府指导价、政府定价。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（二）《政府制定价格行为规则》（国家发改委令第7号）</w:t>
      </w:r>
    </w:p>
    <w:p>
      <w:pPr>
        <w:keepNext w:val="0"/>
        <w:keepLines w:val="0"/>
        <w:pageBreakBefore w:val="0"/>
        <w:kinsoku/>
        <w:wordWrap/>
        <w:overflowPunct/>
        <w:topLinePunct w:val="0"/>
        <w:autoSpaceDE/>
        <w:autoSpaceDN/>
        <w:bidi w:val="0"/>
        <w:adjustRightInd w:val="0"/>
        <w:snapToGrid w:val="0"/>
        <w:spacing w:line="580" w:lineRule="exact"/>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第三条规定：政府制定价格的范围主要为重要公用事业、公益性服务和自然垄断经营的商品和服务等。具体以中央定价目录和地方定价目录为准。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（三）《广东省定价目录（20</w:t>
      </w:r>
      <w:r>
        <w:rPr>
          <w:rFonts w:hint="eastAsia" w:ascii="仿宋_GB2312" w:hAnsi="仿宋_GB2312" w:eastAsia="仿宋_GB2312" w:cs="仿宋_GB2312"/>
          <w:color w:val="000000" w:themeColor="text1"/>
          <w:sz w:val="32"/>
          <w:szCs w:val="32"/>
          <w:lang w:val="en-US" w:eastAsia="zh-CN"/>
        </w:rPr>
        <w:t>22</w:t>
      </w:r>
      <w:r>
        <w:rPr>
          <w:rFonts w:hint="eastAsia" w:ascii="仿宋_GB2312" w:hAnsi="仿宋_GB2312" w:eastAsia="仿宋_GB2312" w:cs="仿宋_GB2312"/>
          <w:color w:val="000000" w:themeColor="text1"/>
          <w:sz w:val="32"/>
          <w:szCs w:val="32"/>
        </w:rPr>
        <w:t>年版）》对水利工程供水价格实行分级管理：县属水利工程授权县人民政府制定（水利工程由用户自建自用的和通过协议明确由</w:t>
      </w:r>
      <w:r>
        <w:rPr>
          <w:rFonts w:hint="eastAsia" w:ascii="仿宋_GB2312" w:hAnsi="仿宋_GB2312" w:eastAsia="仿宋_GB2312" w:cs="仿宋_GB2312"/>
          <w:color w:val="000000" w:themeColor="text1"/>
          <w:sz w:val="32"/>
          <w:szCs w:val="32"/>
          <w:lang w:val="en-US" w:eastAsia="zh-CN"/>
        </w:rPr>
        <w:t>供需</w:t>
      </w:r>
      <w:r>
        <w:rPr>
          <w:rFonts w:hint="eastAsia" w:ascii="仿宋_GB2312" w:hAnsi="仿宋_GB2312" w:eastAsia="仿宋_GB2312" w:cs="仿宋_GB2312"/>
          <w:color w:val="000000" w:themeColor="text1"/>
          <w:sz w:val="32"/>
          <w:szCs w:val="32"/>
        </w:rPr>
        <w:t>双方协商定价的部分除外）。</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 w:val="0"/>
          <w:bCs w:val="0"/>
          <w:color w:val="000000" w:themeColor="text1"/>
          <w:sz w:val="32"/>
          <w:szCs w:val="32"/>
        </w:rPr>
      </w:pPr>
      <w:r>
        <w:rPr>
          <w:rFonts w:hint="eastAsia" w:ascii="黑体" w:hAnsi="黑体" w:eastAsia="黑体" w:cs="黑体"/>
          <w:b w:val="0"/>
          <w:bCs w:val="0"/>
          <w:color w:val="000000" w:themeColor="text1"/>
          <w:sz w:val="32"/>
          <w:szCs w:val="32"/>
          <w:lang w:val="en-US" w:eastAsia="zh-CN"/>
        </w:rPr>
        <w:t>四</w:t>
      </w:r>
      <w:r>
        <w:rPr>
          <w:rFonts w:hint="eastAsia" w:ascii="黑体" w:hAnsi="黑体" w:eastAsia="黑体" w:cs="黑体"/>
          <w:b w:val="0"/>
          <w:bCs w:val="0"/>
          <w:color w:val="000000" w:themeColor="text1"/>
          <w:sz w:val="32"/>
          <w:szCs w:val="32"/>
        </w:rPr>
        <w:t>、拟定</w:t>
      </w:r>
      <w:r>
        <w:rPr>
          <w:rFonts w:hint="eastAsia" w:ascii="黑体" w:hAnsi="黑体" w:eastAsia="黑体" w:cs="黑体"/>
          <w:b w:val="0"/>
          <w:bCs w:val="0"/>
          <w:color w:val="000000" w:themeColor="text1"/>
          <w:sz w:val="32"/>
          <w:szCs w:val="32"/>
          <w:lang w:val="en-US" w:eastAsia="zh-CN"/>
        </w:rPr>
        <w:t>大中型灌区</w:t>
      </w:r>
      <w:r>
        <w:rPr>
          <w:rFonts w:hint="eastAsia" w:ascii="黑体" w:hAnsi="黑体" w:eastAsia="黑体" w:cs="黑体"/>
          <w:b w:val="0"/>
          <w:bCs w:val="0"/>
          <w:color w:val="000000" w:themeColor="text1"/>
          <w:sz w:val="32"/>
          <w:szCs w:val="32"/>
        </w:rPr>
        <w:t>水价格原则</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一</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农业用水价格按照补偿运行维护成本的原则核定，不计利润和税金。</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二）</w:t>
      </w:r>
      <w:r>
        <w:rPr>
          <w:rFonts w:hint="eastAsia" w:ascii="仿宋_GB2312" w:hAnsi="仿宋_GB2312" w:eastAsia="仿宋_GB2312" w:cs="仿宋_GB2312"/>
          <w:color w:val="000000" w:themeColor="text1"/>
          <w:sz w:val="32"/>
          <w:szCs w:val="32"/>
        </w:rPr>
        <w:t>不具备成本监审条件的可暂以项目投资概算或可研报告为基础核定。农业水价实行一步或分步提高到运行维护成本水平，有条件时可以提高到计量水价水平。</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三）</w:t>
      </w:r>
      <w:r>
        <w:rPr>
          <w:rFonts w:hint="eastAsia" w:ascii="仿宋_GB2312" w:hAnsi="仿宋_GB2312" w:eastAsia="仿宋_GB2312" w:cs="仿宋_GB2312"/>
          <w:color w:val="000000" w:themeColor="text1"/>
          <w:sz w:val="32"/>
          <w:szCs w:val="32"/>
        </w:rPr>
        <w:t>依照农业水价综合改革要求，用水量大或附加值高的经济作物和养殖业用水价格可高于其他用水类型。</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四）</w:t>
      </w:r>
      <w:r>
        <w:rPr>
          <w:rFonts w:hint="eastAsia" w:ascii="仿宋_GB2312" w:hAnsi="仿宋_GB2312" w:eastAsia="仿宋_GB2312" w:cs="仿宋_GB2312"/>
          <w:color w:val="000000" w:themeColor="text1"/>
          <w:sz w:val="32"/>
          <w:szCs w:val="32"/>
        </w:rPr>
        <w:t>本着鼓励和有利于节水的原则，实行用水定额管理与累进超定额加价制度。</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lang w:val="en-US" w:eastAsia="zh-CN"/>
        </w:rPr>
        <w:t>五</w:t>
      </w:r>
      <w:r>
        <w:rPr>
          <w:rFonts w:hint="eastAsia" w:ascii="黑体" w:hAnsi="黑体" w:eastAsia="黑体" w:cs="黑体"/>
          <w:b w:val="0"/>
          <w:bCs w:val="0"/>
          <w:color w:val="000000" w:themeColor="text1"/>
          <w:sz w:val="32"/>
          <w:szCs w:val="32"/>
        </w:rPr>
        <w:t>、</w:t>
      </w:r>
      <w:r>
        <w:rPr>
          <w:rFonts w:hint="eastAsia" w:ascii="黑体" w:hAnsi="黑体" w:eastAsia="黑体" w:cs="黑体"/>
          <w:b w:val="0"/>
          <w:bCs w:val="0"/>
          <w:color w:val="000000" w:themeColor="text1"/>
          <w:sz w:val="32"/>
          <w:szCs w:val="32"/>
          <w:lang w:val="en-US" w:eastAsia="zh-CN"/>
        </w:rPr>
        <w:t>大中型灌区</w:t>
      </w:r>
      <w:r>
        <w:rPr>
          <w:rFonts w:hint="eastAsia" w:ascii="黑体" w:hAnsi="黑体" w:eastAsia="黑体" w:cs="黑体"/>
          <w:b w:val="0"/>
          <w:bCs w:val="0"/>
          <w:color w:val="000000" w:themeColor="text1"/>
          <w:sz w:val="32"/>
          <w:szCs w:val="32"/>
        </w:rPr>
        <w:t>水价分类</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结合实际</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区分粮食作物、经济作物、养殖业等用水类型，统筹考虑用水量，生产效益区域农业发展政策等，在终端用水环节实行分类水价。运用价格杠杆原理，设定粮食作物、经济作物、养殖用水类比值为0.9:1.0:1.</w:t>
      </w: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 w:val="0"/>
          <w:bCs w:val="0"/>
          <w:color w:val="000000" w:themeColor="text1"/>
          <w:sz w:val="32"/>
          <w:szCs w:val="32"/>
        </w:rPr>
      </w:pPr>
      <w:r>
        <w:rPr>
          <w:rFonts w:hint="eastAsia" w:ascii="黑体" w:hAnsi="黑体" w:eastAsia="黑体" w:cs="黑体"/>
          <w:b w:val="0"/>
          <w:bCs w:val="0"/>
          <w:color w:val="000000" w:themeColor="text1"/>
          <w:sz w:val="32"/>
          <w:szCs w:val="32"/>
          <w:lang w:val="en-US" w:eastAsia="zh-CN"/>
        </w:rPr>
        <w:t>六</w:t>
      </w:r>
      <w:r>
        <w:rPr>
          <w:rFonts w:hint="eastAsia" w:ascii="黑体" w:hAnsi="黑体" w:eastAsia="黑体" w:cs="黑体"/>
          <w:b w:val="0"/>
          <w:bCs w:val="0"/>
          <w:color w:val="000000" w:themeColor="text1"/>
          <w:sz w:val="32"/>
          <w:szCs w:val="32"/>
        </w:rPr>
        <w:t>、拟定</w:t>
      </w:r>
      <w:r>
        <w:rPr>
          <w:rFonts w:hint="eastAsia" w:ascii="黑体" w:hAnsi="黑体" w:eastAsia="黑体" w:cs="黑体"/>
          <w:b w:val="0"/>
          <w:bCs w:val="0"/>
          <w:color w:val="000000" w:themeColor="text1"/>
          <w:sz w:val="32"/>
          <w:szCs w:val="32"/>
          <w:lang w:val="en-US" w:eastAsia="zh-CN"/>
        </w:rPr>
        <w:t>大中型灌区</w:t>
      </w:r>
      <w:r>
        <w:rPr>
          <w:rFonts w:hint="eastAsia" w:ascii="黑体" w:hAnsi="黑体" w:eastAsia="黑体" w:cs="黑体"/>
          <w:b w:val="0"/>
          <w:bCs w:val="0"/>
          <w:color w:val="000000" w:themeColor="text1"/>
          <w:sz w:val="32"/>
          <w:szCs w:val="32"/>
        </w:rPr>
        <w:t>分类水价格方案</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 w:hAnsi="仿宋" w:eastAsia="仿宋" w:cs="仿宋"/>
          <w:b w:val="0"/>
          <w:bCs w:val="0"/>
          <w:color w:val="000000" w:themeColor="text1"/>
          <w:sz w:val="32"/>
          <w:szCs w:val="32"/>
          <w:lang w:val="en-US" w:eastAsia="zh-CN"/>
        </w:rPr>
      </w:pPr>
      <w:r>
        <w:rPr>
          <w:rFonts w:hint="eastAsia" w:ascii="仿宋" w:hAnsi="仿宋" w:eastAsia="仿宋" w:cs="仿宋"/>
          <w:color w:val="000000" w:themeColor="text1"/>
          <w:sz w:val="32"/>
          <w:szCs w:val="32"/>
        </w:rPr>
        <w:t>根据</w:t>
      </w:r>
      <w:r>
        <w:rPr>
          <w:rFonts w:hint="eastAsia" w:ascii="仿宋_GB2312" w:hAnsi="仿宋_GB2312" w:eastAsia="仿宋_GB2312" w:cs="仿宋_GB2312"/>
          <w:color w:val="000000" w:themeColor="text1"/>
          <w:sz w:val="32"/>
          <w:szCs w:val="32"/>
          <w:lang w:val="en-US" w:eastAsia="zh-CN"/>
        </w:rPr>
        <w:t>县水务局《关于制定遂溪县农业</w:t>
      </w:r>
      <w:r>
        <w:rPr>
          <w:rFonts w:hint="eastAsia" w:ascii="仿宋_GB2312" w:hAnsi="仿宋_GB2312" w:eastAsia="仿宋_GB2312" w:cs="仿宋_GB2312"/>
          <w:sz w:val="32"/>
          <w:szCs w:val="32"/>
          <w:lang w:val="en-US" w:eastAsia="zh-CN"/>
        </w:rPr>
        <w:t>水价综合改革</w:t>
      </w:r>
      <w:r>
        <w:rPr>
          <w:rFonts w:hint="eastAsia" w:ascii="仿宋_GB2312" w:hAnsi="仿宋_GB2312" w:eastAsia="仿宋_GB2312" w:cs="仿宋_GB2312"/>
          <w:color w:val="000000" w:themeColor="text1"/>
          <w:sz w:val="32"/>
          <w:szCs w:val="32"/>
          <w:lang w:val="en-US" w:eastAsia="zh-CN"/>
        </w:rPr>
        <w:t>大中型灌区</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的函》</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遂水函</w:t>
      </w:r>
      <w:r>
        <w:rPr>
          <w:rFonts w:hint="eastAsia" w:ascii="仿宋_GB2312" w:hAnsi="仿宋_GB2312" w:eastAsia="仿宋_GB2312" w:cs="仿宋_GB2312"/>
          <w:color w:val="000000" w:themeColor="text1"/>
          <w:sz w:val="32"/>
          <w:szCs w:val="32"/>
        </w:rPr>
        <w:t>〔20</w:t>
      </w:r>
      <w:r>
        <w:rPr>
          <w:rFonts w:hint="eastAsia" w:ascii="仿宋_GB2312" w:hAnsi="仿宋_GB2312" w:eastAsia="仿宋_GB2312" w:cs="仿宋_GB2312"/>
          <w:color w:val="000000" w:themeColor="text1"/>
          <w:sz w:val="32"/>
          <w:szCs w:val="32"/>
          <w:lang w:val="en-US" w:eastAsia="zh-CN"/>
        </w:rPr>
        <w:t>23</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52</w:t>
      </w:r>
      <w:r>
        <w:rPr>
          <w:rFonts w:hint="eastAsia" w:ascii="仿宋_GB2312" w:hAnsi="仿宋_GB2312" w:eastAsia="仿宋_GB2312" w:cs="仿宋_GB2312"/>
          <w:color w:val="000000" w:themeColor="text1"/>
          <w:sz w:val="32"/>
          <w:szCs w:val="32"/>
        </w:rPr>
        <w:t>号）</w:t>
      </w:r>
      <w:r>
        <w:rPr>
          <w:rFonts w:hint="eastAsia" w:ascii="仿宋_GB2312" w:hAnsi="仿宋_GB2312" w:eastAsia="仿宋_GB2312" w:cs="仿宋_GB2312"/>
          <w:sz w:val="32"/>
          <w:szCs w:val="32"/>
          <w:lang w:val="en-US" w:eastAsia="zh-CN"/>
        </w:rPr>
        <w:t>等资料</w:t>
      </w:r>
      <w:r>
        <w:rPr>
          <w:rFonts w:hint="eastAsia" w:ascii="仿宋" w:hAnsi="仿宋" w:eastAsia="仿宋" w:cs="仿宋"/>
          <w:sz w:val="32"/>
          <w:szCs w:val="32"/>
          <w:lang w:val="en-US" w:eastAsia="zh-CN"/>
        </w:rPr>
        <w:t>：大</w:t>
      </w:r>
      <w:r>
        <w:rPr>
          <w:rFonts w:hint="eastAsia" w:ascii="仿宋_GB2312" w:hAnsi="仿宋_GB2312" w:eastAsia="仿宋_GB2312" w:cs="仿宋_GB2312"/>
          <w:color w:val="000000" w:themeColor="text1"/>
          <w:sz w:val="32"/>
          <w:szCs w:val="32"/>
          <w:lang w:val="en-US" w:eastAsia="zh-CN"/>
        </w:rPr>
        <w:t>中型水库灌区骨干工程平均全成本水价0.07元/m³</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eastAsia="zh-CN"/>
        </w:rPr>
        <w:t>保留至两位小数，</w:t>
      </w:r>
      <w:r>
        <w:rPr>
          <w:rFonts w:hint="eastAsia" w:ascii="仿宋_GB2312" w:hAnsi="仿宋_GB2312" w:eastAsia="仿宋_GB2312" w:cs="仿宋_GB2312"/>
          <w:color w:val="000000" w:themeColor="text1"/>
          <w:sz w:val="32"/>
          <w:szCs w:val="32"/>
        </w:rPr>
        <w:t>不含利润、税费</w:t>
      </w:r>
      <w:r>
        <w:rPr>
          <w:rFonts w:hint="eastAsia" w:ascii="仿宋_GB2312" w:hAnsi="仿宋_GB2312" w:eastAsia="仿宋_GB2312" w:cs="仿宋_GB2312"/>
          <w:color w:val="000000" w:themeColor="text1"/>
          <w:sz w:val="32"/>
          <w:szCs w:val="32"/>
          <w:lang w:eastAsia="zh-CN"/>
        </w:rPr>
        <w:t>，下同</w:t>
      </w:r>
      <w:r>
        <w:rPr>
          <w:rFonts w:hint="eastAsia" w:ascii="仿宋_GB2312" w:hAnsi="仿宋_GB2312" w:eastAsia="仿宋_GB2312" w:cs="仿宋_GB2312"/>
          <w:color w:val="000000" w:themeColor="text1"/>
          <w:sz w:val="32"/>
          <w:szCs w:val="32"/>
          <w:lang w:val="en-US" w:eastAsia="zh-CN"/>
        </w:rPr>
        <w:t>)，平均运行维护成本</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0.06元/m³；</w:t>
      </w:r>
      <w:r>
        <w:rPr>
          <w:rFonts w:hint="eastAsia" w:ascii="仿宋_GB2312" w:hAnsi="仿宋_GB2312" w:eastAsia="仿宋_GB2312" w:cs="仿宋_GB2312"/>
          <w:color w:val="000000" w:themeColor="text1"/>
          <w:sz w:val="32"/>
          <w:szCs w:val="32"/>
          <w:lang w:eastAsia="zh-CN"/>
        </w:rPr>
        <w:t>未级渠系平均全成本水价</w:t>
      </w:r>
      <w:r>
        <w:rPr>
          <w:rFonts w:hint="eastAsia" w:ascii="仿宋_GB2312" w:hAnsi="仿宋_GB2312" w:eastAsia="仿宋_GB2312" w:cs="仿宋_GB2312"/>
          <w:color w:val="000000" w:themeColor="text1"/>
          <w:sz w:val="32"/>
          <w:szCs w:val="32"/>
          <w:lang w:val="en-US" w:eastAsia="zh-CN"/>
        </w:rPr>
        <w:t>0.06元/m³，平均运行维护成本</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0.04元/m³，供水终端平均全成本价格0.19元/m³，平均运行维护成本</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0.13元/m³。</w:t>
      </w:r>
      <w:r>
        <w:rPr>
          <w:rFonts w:hint="eastAsia" w:ascii="仿宋" w:hAnsi="仿宋" w:eastAsia="仿宋" w:cs="仿宋"/>
          <w:b w:val="0"/>
          <w:bCs w:val="0"/>
          <w:color w:val="000000"/>
          <w:sz w:val="32"/>
          <w:szCs w:val="32"/>
          <w:lang w:val="en-US" w:eastAsia="zh-CN"/>
        </w:rPr>
        <w:t>目前，我县</w:t>
      </w:r>
      <w:r>
        <w:rPr>
          <w:rFonts w:hint="eastAsia" w:ascii="仿宋" w:hAnsi="仿宋" w:eastAsia="仿宋" w:cs="仿宋"/>
          <w:color w:val="000000" w:themeColor="text1"/>
          <w:sz w:val="32"/>
          <w:szCs w:val="32"/>
        </w:rPr>
        <w:t>农业水价综合改革</w:t>
      </w:r>
      <w:r>
        <w:rPr>
          <w:rFonts w:hint="eastAsia" w:ascii="仿宋" w:hAnsi="仿宋" w:eastAsia="仿宋" w:cs="仿宋"/>
          <w:color w:val="000000" w:themeColor="text1"/>
          <w:sz w:val="32"/>
          <w:szCs w:val="32"/>
          <w:lang w:val="en-US" w:eastAsia="zh-CN"/>
        </w:rPr>
        <w:t>工作正处于改革试行阶段，考虑群众承受能力，</w:t>
      </w:r>
      <w:r>
        <w:rPr>
          <w:rFonts w:hint="eastAsia" w:ascii="仿宋_GB2312" w:hAnsi="仿宋_GB2312" w:eastAsia="仿宋_GB2312" w:cs="仿宋_GB2312"/>
          <w:color w:val="000000" w:themeColor="text1"/>
          <w:sz w:val="32"/>
          <w:szCs w:val="32"/>
          <w:lang w:eastAsia="zh-CN"/>
        </w:rPr>
        <w:t>采用</w:t>
      </w:r>
      <w:r>
        <w:rPr>
          <w:rFonts w:hint="eastAsia" w:ascii="仿宋_GB2312" w:hAnsi="仿宋_GB2312" w:eastAsia="仿宋_GB2312" w:cs="仿宋_GB2312"/>
          <w:color w:val="000000" w:themeColor="text1"/>
          <w:sz w:val="32"/>
          <w:szCs w:val="32"/>
          <w:lang w:val="en-US" w:eastAsia="zh-CN"/>
        </w:rPr>
        <w:t>供水终端</w:t>
      </w:r>
      <w:r>
        <w:rPr>
          <w:rFonts w:hint="eastAsia" w:ascii="仿宋_GB2312" w:hAnsi="仿宋_GB2312" w:eastAsia="仿宋_GB2312" w:cs="仿宋_GB2312"/>
          <w:color w:val="000000" w:themeColor="text1"/>
          <w:sz w:val="32"/>
          <w:szCs w:val="32"/>
          <w:lang w:eastAsia="zh-CN"/>
        </w:rPr>
        <w:t>平均运行维护成本水价，</w:t>
      </w:r>
      <w:r>
        <w:rPr>
          <w:rFonts w:hint="eastAsia" w:ascii="仿宋_GB2312" w:hAnsi="仿宋_GB2312" w:eastAsia="仿宋_GB2312" w:cs="仿宋_GB2312"/>
          <w:color w:val="000000" w:themeColor="text1"/>
          <w:sz w:val="32"/>
          <w:szCs w:val="32"/>
          <w:lang w:val="en-US" w:eastAsia="zh-CN"/>
        </w:rPr>
        <w:t>只制定供水终端水价，并</w:t>
      </w:r>
      <w:r>
        <w:rPr>
          <w:rFonts w:hint="eastAsia" w:ascii="仿宋_GB2312" w:hAnsi="仿宋_GB2312" w:eastAsia="仿宋_GB2312" w:cs="仿宋_GB2312"/>
          <w:color w:val="000000" w:themeColor="text1"/>
          <w:sz w:val="32"/>
          <w:szCs w:val="32"/>
          <w:lang w:eastAsia="zh-CN"/>
        </w:rPr>
        <w:t>实行农业用水价格</w:t>
      </w:r>
      <w:r>
        <w:rPr>
          <w:rFonts w:hint="eastAsia" w:ascii="仿宋_GB2312" w:hAnsi="仿宋_GB2312" w:eastAsia="仿宋_GB2312" w:cs="仿宋_GB2312"/>
          <w:color w:val="000000" w:themeColor="text1"/>
          <w:sz w:val="32"/>
          <w:szCs w:val="32"/>
        </w:rPr>
        <w:t>分类水价</w:t>
      </w:r>
      <w:r>
        <w:rPr>
          <w:rFonts w:hint="eastAsia" w:ascii="仿宋_GB2312" w:hAnsi="仿宋_GB2312" w:eastAsia="仿宋_GB2312" w:cs="仿宋_GB2312"/>
          <w:color w:val="000000" w:themeColor="text1"/>
          <w:sz w:val="32"/>
          <w:szCs w:val="32"/>
          <w:lang w:eastAsia="zh-CN"/>
        </w:rPr>
        <w:t>和超定额超计划累进加价制度，</w:t>
      </w:r>
      <w:r>
        <w:rPr>
          <w:rFonts w:hint="eastAsia" w:ascii="仿宋" w:hAnsi="仿宋" w:eastAsia="仿宋" w:cs="仿宋"/>
          <w:color w:val="000000" w:themeColor="text1"/>
          <w:sz w:val="32"/>
          <w:szCs w:val="32"/>
          <w:lang w:val="en-US" w:eastAsia="zh-CN"/>
        </w:rPr>
        <w:t>拟定方案</w:t>
      </w:r>
      <w:r>
        <w:rPr>
          <w:rFonts w:hint="eastAsia" w:ascii="仿宋" w:hAnsi="仿宋" w:eastAsia="仿宋" w:cs="仿宋"/>
          <w:b w:val="0"/>
          <w:bCs w:val="0"/>
          <w:color w:val="000000" w:themeColor="text1"/>
          <w:sz w:val="32"/>
          <w:szCs w:val="32"/>
          <w:lang w:val="en-US" w:eastAsia="zh-CN"/>
        </w:rPr>
        <w:t>如下：</w:t>
      </w:r>
    </w:p>
    <w:p>
      <w:pPr>
        <w:pStyle w:val="5"/>
        <w:keepNext w:val="0"/>
        <w:keepLines w:val="0"/>
        <w:pageBreakBefore w:val="0"/>
        <w:numPr>
          <w:ilvl w:val="0"/>
          <w:numId w:val="0"/>
        </w:numPr>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仿宋" w:hAnsi="仿宋" w:eastAsia="仿宋" w:cs="仿宋"/>
          <w:b w:val="0"/>
          <w:bCs w:val="0"/>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（一）大中型灌区供水终端农业水价实行政府定价，其他农业用水价格实行协商定价。粮食作物用水价格在成本价的基础上下浮10%，经济作物用水价格执行成本价，养殖用水类价格在成本价的基础上上浮10%，</w:t>
      </w:r>
      <w:r>
        <w:rPr>
          <w:rFonts w:hint="eastAsia" w:ascii="仿宋_GB2312" w:hAnsi="仿宋_GB2312" w:eastAsia="仿宋_GB2312" w:cs="仿宋_GB2312"/>
          <w:color w:val="000000" w:themeColor="text1"/>
          <w:sz w:val="32"/>
          <w:szCs w:val="32"/>
        </w:rPr>
        <w:t>详见下表：</w:t>
      </w:r>
    </w:p>
    <w:tbl>
      <w:tblPr>
        <w:tblStyle w:val="7"/>
        <w:tblW w:w="7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0"/>
        <w:gridCol w:w="2004"/>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325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themeColor="text1"/>
                <w:sz w:val="24"/>
                <w:szCs w:val="24"/>
                <w:vertAlign w:val="baseline"/>
                <w:lang w:eastAsia="zh-CN"/>
              </w:rPr>
            </w:pPr>
            <w:r>
              <w:rPr>
                <w:rFonts w:hint="eastAsia" w:ascii="仿宋_GB2312" w:hAnsi="仿宋_GB2312" w:eastAsia="仿宋_GB2312" w:cs="仿宋_GB2312"/>
                <w:b/>
                <w:bCs/>
                <w:color w:val="000000" w:themeColor="text1"/>
                <w:sz w:val="24"/>
                <w:szCs w:val="24"/>
                <w:vertAlign w:val="baseline"/>
                <w:lang w:eastAsia="zh-CN"/>
              </w:rPr>
              <w:t>分类</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themeColor="text1"/>
                <w:sz w:val="24"/>
                <w:szCs w:val="24"/>
                <w:vertAlign w:val="baseline"/>
                <w:lang w:eastAsia="zh-CN"/>
              </w:rPr>
            </w:pPr>
            <w:r>
              <w:rPr>
                <w:rFonts w:hint="eastAsia" w:ascii="仿宋_GB2312" w:hAnsi="仿宋_GB2312" w:eastAsia="仿宋_GB2312" w:cs="仿宋_GB2312"/>
                <w:b/>
                <w:bCs/>
                <w:color w:val="000000" w:themeColor="text1"/>
                <w:sz w:val="24"/>
                <w:szCs w:val="24"/>
                <w:vertAlign w:val="baseline"/>
                <w:lang w:eastAsia="zh-CN"/>
              </w:rPr>
              <w:t>终端</w:t>
            </w:r>
            <w:r>
              <w:rPr>
                <w:rFonts w:hint="eastAsia" w:ascii="仿宋_GB2312" w:hAnsi="仿宋_GB2312" w:eastAsia="仿宋_GB2312" w:cs="仿宋_GB2312"/>
                <w:b/>
                <w:bCs/>
                <w:color w:val="000000" w:themeColor="text1"/>
                <w:sz w:val="24"/>
                <w:szCs w:val="24"/>
                <w:vertAlign w:val="baseline"/>
                <w:lang w:val="en-US" w:eastAsia="zh-CN"/>
              </w:rPr>
              <w:t>(</w:t>
            </w:r>
            <w:r>
              <w:rPr>
                <w:rFonts w:hint="eastAsia" w:ascii="仿宋_GB2312" w:hAnsi="仿宋_GB2312" w:eastAsia="仿宋_GB2312" w:cs="仿宋_GB2312"/>
                <w:b/>
                <w:bCs/>
                <w:color w:val="000000" w:themeColor="text1"/>
                <w:sz w:val="24"/>
                <w:szCs w:val="24"/>
                <w:lang w:val="en-US" w:eastAsia="zh-CN"/>
              </w:rPr>
              <w:t>元/m³)</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b/>
                <w:bCs/>
                <w:color w:val="000000" w:themeColor="text1"/>
                <w:sz w:val="24"/>
                <w:szCs w:val="24"/>
                <w:vertAlign w:val="baseline"/>
                <w:lang w:val="en-US" w:eastAsia="zh-CN"/>
              </w:rPr>
            </w:pPr>
            <w:r>
              <w:rPr>
                <w:rFonts w:hint="eastAsia" w:ascii="仿宋_GB2312" w:hAnsi="仿宋_GB2312" w:eastAsia="仿宋_GB2312" w:cs="仿宋_GB2312"/>
                <w:b/>
                <w:bCs/>
                <w:color w:val="000000" w:themeColor="text1"/>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325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24"/>
                <w:szCs w:val="24"/>
                <w:vertAlign w:val="baseline"/>
                <w:lang w:eastAsia="zh-CN"/>
              </w:rPr>
            </w:pPr>
            <w:r>
              <w:rPr>
                <w:rFonts w:hint="eastAsia" w:ascii="仿宋_GB2312" w:hAnsi="仿宋_GB2312" w:eastAsia="仿宋_GB2312" w:cs="仿宋_GB2312"/>
                <w:color w:val="000000" w:themeColor="text1"/>
                <w:sz w:val="24"/>
                <w:szCs w:val="24"/>
                <w:vertAlign w:val="baseline"/>
                <w:lang w:eastAsia="zh-CN"/>
              </w:rPr>
              <w:t>粮食作物</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themeColor="text1"/>
                <w:sz w:val="24"/>
                <w:szCs w:val="24"/>
                <w:vertAlign w:val="baseline"/>
                <w:lang w:val="en-US" w:eastAsia="zh-CN"/>
              </w:rPr>
            </w:pPr>
            <w:r>
              <w:rPr>
                <w:rFonts w:hint="eastAsia" w:ascii="仿宋_GB2312" w:hAnsi="仿宋_GB2312" w:eastAsia="仿宋_GB2312" w:cs="仿宋_GB2312"/>
                <w:color w:val="000000" w:themeColor="text1"/>
                <w:sz w:val="24"/>
                <w:szCs w:val="24"/>
                <w:vertAlign w:val="baseline"/>
                <w:lang w:val="en-US" w:eastAsia="zh-CN"/>
              </w:rPr>
              <w:t>0.12</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325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24"/>
                <w:szCs w:val="24"/>
                <w:vertAlign w:val="baseline"/>
                <w:lang w:eastAsia="zh-CN"/>
              </w:rPr>
            </w:pPr>
            <w:r>
              <w:rPr>
                <w:rFonts w:hint="eastAsia" w:ascii="仿宋_GB2312" w:hAnsi="仿宋_GB2312" w:eastAsia="仿宋_GB2312" w:cs="仿宋_GB2312"/>
                <w:color w:val="000000" w:themeColor="text1"/>
                <w:sz w:val="24"/>
                <w:szCs w:val="24"/>
                <w:vertAlign w:val="baseline"/>
                <w:lang w:eastAsia="zh-CN"/>
              </w:rPr>
              <w:t>经济作物</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themeColor="text1"/>
                <w:sz w:val="24"/>
                <w:szCs w:val="24"/>
                <w:vertAlign w:val="baseline"/>
                <w:lang w:val="en-US" w:eastAsia="zh-CN"/>
              </w:rPr>
            </w:pPr>
            <w:r>
              <w:rPr>
                <w:rFonts w:hint="eastAsia" w:ascii="仿宋_GB2312" w:hAnsi="仿宋_GB2312" w:eastAsia="仿宋_GB2312" w:cs="仿宋_GB2312"/>
                <w:color w:val="000000" w:themeColor="text1"/>
                <w:sz w:val="24"/>
                <w:szCs w:val="24"/>
                <w:vertAlign w:val="baseline"/>
                <w:lang w:val="en-US" w:eastAsia="zh-CN"/>
              </w:rPr>
              <w:t>0.13</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3250"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themeColor="text1"/>
                <w:sz w:val="24"/>
                <w:szCs w:val="24"/>
                <w:vertAlign w:val="baseline"/>
                <w:lang w:val="en-US" w:eastAsia="zh-CN"/>
              </w:rPr>
            </w:pPr>
            <w:r>
              <w:rPr>
                <w:rFonts w:hint="eastAsia" w:ascii="仿宋_GB2312" w:hAnsi="仿宋_GB2312" w:eastAsia="仿宋_GB2312" w:cs="仿宋_GB2312"/>
                <w:color w:val="000000" w:themeColor="text1"/>
                <w:sz w:val="24"/>
                <w:szCs w:val="24"/>
                <w:vertAlign w:val="baseline"/>
                <w:lang w:eastAsia="zh-CN"/>
              </w:rPr>
              <w:t>养殖</w:t>
            </w:r>
            <w:r>
              <w:rPr>
                <w:rFonts w:hint="eastAsia" w:ascii="仿宋_GB2312" w:hAnsi="仿宋_GB2312" w:eastAsia="仿宋_GB2312" w:cs="仿宋_GB2312"/>
                <w:color w:val="000000" w:themeColor="text1"/>
                <w:sz w:val="24"/>
                <w:szCs w:val="24"/>
                <w:vertAlign w:val="baseline"/>
                <w:lang w:val="en-US" w:eastAsia="zh-CN"/>
              </w:rPr>
              <w:t>用水类</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themeColor="text1"/>
                <w:sz w:val="24"/>
                <w:szCs w:val="24"/>
                <w:vertAlign w:val="baseline"/>
                <w:lang w:val="en-US" w:eastAsia="zh-CN"/>
              </w:rPr>
            </w:pPr>
            <w:r>
              <w:rPr>
                <w:rFonts w:hint="eastAsia" w:ascii="仿宋_GB2312" w:hAnsi="仿宋_GB2312" w:eastAsia="仿宋_GB2312" w:cs="仿宋_GB2312"/>
                <w:color w:val="000000" w:themeColor="text1"/>
                <w:sz w:val="24"/>
                <w:szCs w:val="24"/>
                <w:vertAlign w:val="baseline"/>
                <w:lang w:val="en-US" w:eastAsia="zh-CN"/>
              </w:rPr>
              <w:t>0.14</w:t>
            </w:r>
          </w:p>
        </w:tc>
        <w:tc>
          <w:tcPr>
            <w:tcW w:w="2004" w:type="dxa"/>
            <w:vAlign w:val="center"/>
          </w:tcPr>
          <w:p>
            <w:pPr>
              <w:pStyle w:val="5"/>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themeColor="text1"/>
                <w:sz w:val="24"/>
                <w:szCs w:val="24"/>
                <w:vertAlign w:val="baseline"/>
                <w:lang w:val="en-US" w:eastAsia="zh-CN"/>
              </w:rPr>
            </w:pPr>
          </w:p>
        </w:tc>
      </w:tr>
    </w:tbl>
    <w:p>
      <w:pPr>
        <w:pStyle w:val="5"/>
        <w:keepNext w:val="0"/>
        <w:keepLines w:val="0"/>
        <w:pageBreakBefore w:val="0"/>
        <w:widowControl w:val="0"/>
        <w:kinsoku/>
        <w:wordWrap/>
        <w:overflowPunct/>
        <w:topLinePunct w:val="0"/>
        <w:autoSpaceDE/>
        <w:autoSpaceDN/>
        <w:bidi w:val="0"/>
        <w:adjustRightInd w:val="0"/>
        <w:snapToGrid w:val="0"/>
        <w:spacing w:after="0" w:line="560"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（二）农业用水实行超定额超计划累进加价制度。超计划、超定额用水的，对超计划、超定额用水部分，按照用水类别和超计划用水幅度，以基本水价1倍至3倍累进加价计收水费。具体加价幅度如下：</w:t>
      </w:r>
    </w:p>
    <w:p>
      <w:pPr>
        <w:pStyle w:val="5"/>
        <w:keepNext w:val="0"/>
        <w:keepLines w:val="0"/>
        <w:pageBreakBefore w:val="0"/>
        <w:widowControl w:val="0"/>
        <w:kinsoku/>
        <w:wordWrap/>
        <w:overflowPunct/>
        <w:topLinePunct w:val="0"/>
        <w:autoSpaceDE/>
        <w:autoSpaceDN/>
        <w:bidi w:val="0"/>
        <w:adjustRightInd w:val="0"/>
        <w:snapToGrid w:val="0"/>
        <w:spacing w:after="0" w:line="560" w:lineRule="exact"/>
        <w:ind w:firstLine="64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按照</w:t>
      </w:r>
      <w:r>
        <w:rPr>
          <w:rFonts w:hint="eastAsia" w:ascii="仿宋_GB2312" w:hAnsi="仿宋_GB2312" w:eastAsia="仿宋_GB2312" w:cs="仿宋_GB2312"/>
          <w:color w:val="000000" w:themeColor="text1"/>
          <w:sz w:val="32"/>
          <w:szCs w:val="32"/>
        </w:rPr>
        <w:t>《广东省用水定额》</w:t>
      </w:r>
      <w:r>
        <w:rPr>
          <w:rFonts w:hint="eastAsia" w:ascii="仿宋_GB2312" w:hAnsi="仿宋_GB2312" w:eastAsia="仿宋_GB2312" w:cs="仿宋_GB2312"/>
          <w:color w:val="000000" w:themeColor="text1"/>
          <w:sz w:val="32"/>
          <w:szCs w:val="32"/>
          <w:lang w:val="en-US" w:eastAsia="zh-CN"/>
        </w:rPr>
        <w:t>规定年用水定额量，用水量不超出年用水定额量的，按正常分类水价执行。用水量超出年用水定额量的，超出50%以内(含50%)的部分执行正常分类水价的1.5倍；超出50%但未超出100%(含100%)的部分执行正常分类水价的2倍；超出100%以上的部分执行正常分类水价的3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七、有关后续工作管理问题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（一）本方案水价改革</w:t>
      </w:r>
      <w:r>
        <w:rPr>
          <w:rFonts w:hint="eastAsia" w:ascii="仿宋_GB2312" w:hAnsi="仿宋_GB2312" w:eastAsia="仿宋_GB2312" w:cs="仿宋_GB2312"/>
          <w:color w:val="000000" w:themeColor="text1"/>
          <w:sz w:val="32"/>
          <w:szCs w:val="32"/>
          <w:lang w:val="en-US" w:eastAsia="zh-CN"/>
        </w:rPr>
        <w:t>期间</w:t>
      </w:r>
      <w:r>
        <w:rPr>
          <w:rFonts w:hint="eastAsia" w:ascii="仿宋_GB2312" w:hAnsi="仿宋_GB2312" w:eastAsia="仿宋_GB2312" w:cs="仿宋_GB2312"/>
          <w:color w:val="000000" w:themeColor="text1"/>
          <w:sz w:val="32"/>
          <w:szCs w:val="32"/>
        </w:rPr>
        <w:t>为粮食作物财政补贴多，经济作物和养殖用水类相应财政补贴少。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（二）改革实施面积</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含</w:t>
      </w:r>
      <w:r>
        <w:rPr>
          <w:rFonts w:hint="eastAsia" w:ascii="仿宋_GB2312" w:hAnsi="仿宋_GB2312" w:eastAsia="仿宋_GB2312" w:cs="仿宋_GB2312"/>
          <w:color w:val="000000" w:themeColor="text1"/>
          <w:sz w:val="32"/>
          <w:szCs w:val="32"/>
        </w:rPr>
        <w:t>农作物、养殖业的耕作亩数</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由具体负责部门确定。</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运行维护成本水价方案的种植类和用水总量控制管理是根据预算和用水定额拟定的，对于“种植分类、核算到户、用水量控制到户、收费到户”的“四定管理”，待供水运行正常后和有关部门再深入分析与合理调整。</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对区域内同类农业供水工程或供水维护运营成本相近的供水工程，可参照执行本方案拟定的供水价格。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b w:val="0"/>
          <w:bCs w:val="0"/>
          <w:sz w:val="32"/>
          <w:szCs w:val="32"/>
        </w:rPr>
      </w:pPr>
      <w:r>
        <w:rPr>
          <w:rFonts w:hint="eastAsia" w:ascii="黑体" w:hAnsi="黑体" w:eastAsia="黑体" w:cs="黑体"/>
          <w:b w:val="0"/>
          <w:bCs w:val="0"/>
          <w:sz w:val="32"/>
          <w:szCs w:val="32"/>
        </w:rPr>
        <w:t>八、拟定</w:t>
      </w:r>
      <w:r>
        <w:rPr>
          <w:rFonts w:hint="eastAsia" w:ascii="黑体" w:hAnsi="黑体" w:eastAsia="黑体" w:cs="黑体"/>
          <w:b w:val="0"/>
          <w:bCs w:val="0"/>
          <w:color w:val="000000" w:themeColor="text1"/>
          <w:sz w:val="32"/>
          <w:szCs w:val="32"/>
          <w:lang w:val="en-US" w:eastAsia="zh-CN"/>
        </w:rPr>
        <w:t>大中型灌区</w:t>
      </w:r>
      <w:r>
        <w:rPr>
          <w:rFonts w:hint="eastAsia" w:ascii="黑体" w:hAnsi="黑体" w:eastAsia="黑体" w:cs="黑体"/>
          <w:b w:val="0"/>
          <w:bCs w:val="0"/>
          <w:sz w:val="32"/>
          <w:szCs w:val="32"/>
        </w:rPr>
        <w:t>水价对群众生活的分析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农业</w:t>
      </w:r>
      <w:r>
        <w:rPr>
          <w:rFonts w:hint="eastAsia" w:ascii="仿宋_GB2312" w:hAnsi="仿宋_GB2312" w:eastAsia="仿宋_GB2312" w:cs="仿宋_GB2312"/>
          <w:color w:val="000000" w:themeColor="text1"/>
          <w:sz w:val="32"/>
          <w:szCs w:val="32"/>
        </w:rPr>
        <w:t>水价</w:t>
      </w:r>
      <w:r>
        <w:rPr>
          <w:rFonts w:hint="eastAsia" w:ascii="仿宋_GB2312" w:hAnsi="仿宋_GB2312" w:eastAsia="仿宋_GB2312" w:cs="仿宋_GB2312"/>
          <w:color w:val="000000" w:themeColor="text1"/>
          <w:sz w:val="32"/>
          <w:szCs w:val="32"/>
          <w:lang w:val="en-US" w:eastAsia="zh-CN"/>
        </w:rPr>
        <w:t>综合</w:t>
      </w:r>
      <w:r>
        <w:rPr>
          <w:rFonts w:hint="eastAsia" w:ascii="仿宋_GB2312" w:hAnsi="仿宋_GB2312" w:eastAsia="仿宋_GB2312" w:cs="仿宋_GB2312"/>
          <w:color w:val="000000" w:themeColor="text1"/>
          <w:sz w:val="32"/>
          <w:szCs w:val="32"/>
        </w:rPr>
        <w:t>改革将逐步实现供水计量、农业用水总量指标分解用水主体、田间工程落实管护主体和管护责任，以水价机制为核心、以奖补机制为保障、以工程和计量设施建设为基础、以工程管护机制为依托，使其达到统筹推进农业水价综合改革工作的目的。而且，农业用水价格按照补偿运行维护成本的原则核定，不计利润和税金。</w:t>
      </w:r>
      <w:r>
        <w:rPr>
          <w:rFonts w:hint="eastAsia" w:ascii="仿宋_GB2312" w:hAnsi="仿宋_GB2312" w:eastAsia="仿宋_GB2312" w:cs="仿宋_GB2312"/>
          <w:color w:val="000000" w:themeColor="text1"/>
          <w:sz w:val="32"/>
          <w:szCs w:val="32"/>
          <w:lang w:val="en-US" w:eastAsia="zh-CN"/>
        </w:rPr>
        <w:t>2016</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到2026年</w:t>
      </w:r>
      <w:r>
        <w:rPr>
          <w:rFonts w:hint="eastAsia" w:ascii="仿宋_GB2312" w:hAnsi="仿宋_GB2312" w:eastAsia="仿宋_GB2312" w:cs="仿宋_GB2312"/>
          <w:color w:val="000000" w:themeColor="text1"/>
          <w:sz w:val="32"/>
          <w:szCs w:val="32"/>
        </w:rPr>
        <w:t>改革期间采用粮食作物财政补贴多、经济作物和其它相应财政补贴少等方式</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对群众</w:t>
      </w:r>
      <w:r>
        <w:rPr>
          <w:rFonts w:hint="eastAsia" w:ascii="仿宋_GB2312" w:hAnsi="仿宋_GB2312" w:eastAsia="仿宋_GB2312" w:cs="仿宋_GB2312"/>
          <w:color w:val="000000" w:themeColor="text1"/>
          <w:sz w:val="32"/>
          <w:szCs w:val="32"/>
          <w:lang w:val="en-US" w:eastAsia="zh-CN"/>
        </w:rPr>
        <w:t>耕种成本</w:t>
      </w:r>
      <w:r>
        <w:rPr>
          <w:rFonts w:hint="eastAsia" w:ascii="仿宋_GB2312" w:hAnsi="仿宋_GB2312" w:eastAsia="仿宋_GB2312" w:cs="仿宋_GB2312"/>
          <w:color w:val="000000" w:themeColor="text1"/>
          <w:sz w:val="32"/>
          <w:szCs w:val="32"/>
        </w:rPr>
        <w:t>影响不大，有利于</w:t>
      </w:r>
      <w:r>
        <w:rPr>
          <w:rFonts w:hint="eastAsia" w:ascii="仿宋_GB2312" w:hAnsi="仿宋_GB2312" w:eastAsia="仿宋_GB2312" w:cs="仿宋_GB2312"/>
          <w:color w:val="000000" w:themeColor="text1"/>
          <w:sz w:val="32"/>
          <w:szCs w:val="32"/>
          <w:lang w:val="en-US" w:eastAsia="zh-CN"/>
        </w:rPr>
        <w:t>粮食安全、</w:t>
      </w:r>
      <w:r>
        <w:rPr>
          <w:rFonts w:hint="eastAsia" w:ascii="仿宋_GB2312" w:hAnsi="仿宋_GB2312" w:eastAsia="仿宋_GB2312" w:cs="仿宋_GB2312"/>
          <w:color w:val="000000" w:themeColor="text1"/>
          <w:sz w:val="32"/>
          <w:szCs w:val="32"/>
        </w:rPr>
        <w:t>节约用水。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color w:val="000000" w:themeColor="text1"/>
          <w:sz w:val="32"/>
          <w:szCs w:val="32"/>
        </w:rPr>
      </w:pPr>
      <w:r>
        <w:rPr>
          <w:rFonts w:hint="eastAsia" w:ascii="黑体" w:hAnsi="黑体" w:eastAsia="黑体" w:cs="黑体"/>
          <w:b w:val="0"/>
          <w:bCs w:val="0"/>
          <w:color w:val="000000" w:themeColor="text1"/>
          <w:sz w:val="32"/>
          <w:szCs w:val="32"/>
        </w:rPr>
        <w:t>九、</w:t>
      </w:r>
      <w:r>
        <w:rPr>
          <w:rFonts w:hint="eastAsia" w:ascii="黑体" w:hAnsi="黑体" w:eastAsia="黑体" w:cs="黑体"/>
          <w:b w:val="0"/>
          <w:bCs w:val="0"/>
          <w:color w:val="000000" w:themeColor="text1"/>
          <w:sz w:val="32"/>
          <w:szCs w:val="32"/>
          <w:lang w:val="en-US" w:eastAsia="zh-CN"/>
        </w:rPr>
        <w:t>大中型灌区</w:t>
      </w:r>
      <w:r>
        <w:rPr>
          <w:rFonts w:hint="eastAsia" w:ascii="黑体" w:hAnsi="黑体" w:eastAsia="黑体" w:cs="黑体"/>
          <w:b w:val="0"/>
          <w:bCs w:val="0"/>
          <w:color w:val="000000" w:themeColor="text1"/>
          <w:sz w:val="32"/>
          <w:szCs w:val="32"/>
        </w:rPr>
        <w:t>水价执行的时间和范围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待县政府批复后，视实际情况，再确定执行时间。范围为本县辖区内。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FF"/>
          <w:sz w:val="32"/>
          <w:szCs w:val="32"/>
          <w:highlight w:val="none"/>
        </w:rPr>
      </w:pPr>
      <w:bookmarkStart w:id="0" w:name="_GoBack"/>
      <w:bookmarkEnd w:id="0"/>
    </w:p>
    <w:p>
      <w:pPr>
        <w:spacing w:line="520" w:lineRule="exact"/>
        <w:rPr>
          <w:rFonts w:hint="eastAsia" w:ascii="仿宋_GB2312" w:hAnsi="仿宋_GB2312" w:eastAsia="仿宋_GB2312" w:cs="仿宋_GB2312"/>
          <w:color w:val="0000FF"/>
          <w:sz w:val="32"/>
          <w:szCs w:val="32"/>
        </w:rPr>
      </w:pPr>
    </w:p>
    <w:p>
      <w:pPr>
        <w:rPr>
          <w:rFonts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B30DA3"/>
    <w:multiLevelType w:val="singleLevel"/>
    <w:tmpl w:val="BAB30D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0MzUxZDcyNjk4ZWM0MGQ2ZjIyMGJlMGNiMzkzNTcifQ=="/>
  </w:docVars>
  <w:rsids>
    <w:rsidRoot w:val="5AB709E4"/>
    <w:rsid w:val="00027650"/>
    <w:rsid w:val="000B6147"/>
    <w:rsid w:val="000B76C4"/>
    <w:rsid w:val="000C0744"/>
    <w:rsid w:val="000D31BE"/>
    <w:rsid w:val="000E36CE"/>
    <w:rsid w:val="001279FD"/>
    <w:rsid w:val="00133A21"/>
    <w:rsid w:val="00133FC2"/>
    <w:rsid w:val="00180614"/>
    <w:rsid w:val="00187DC3"/>
    <w:rsid w:val="002015D4"/>
    <w:rsid w:val="00220BEF"/>
    <w:rsid w:val="00272BE9"/>
    <w:rsid w:val="00292994"/>
    <w:rsid w:val="00300888"/>
    <w:rsid w:val="00342D33"/>
    <w:rsid w:val="003504A3"/>
    <w:rsid w:val="0046732E"/>
    <w:rsid w:val="004E7967"/>
    <w:rsid w:val="00517CF8"/>
    <w:rsid w:val="006072C8"/>
    <w:rsid w:val="00637271"/>
    <w:rsid w:val="00652632"/>
    <w:rsid w:val="00713F64"/>
    <w:rsid w:val="00715314"/>
    <w:rsid w:val="00725F1C"/>
    <w:rsid w:val="007545A8"/>
    <w:rsid w:val="00833DB4"/>
    <w:rsid w:val="00885A16"/>
    <w:rsid w:val="008C3C24"/>
    <w:rsid w:val="008E56D2"/>
    <w:rsid w:val="00957804"/>
    <w:rsid w:val="009830FF"/>
    <w:rsid w:val="009B48B8"/>
    <w:rsid w:val="00B2338E"/>
    <w:rsid w:val="00B67D92"/>
    <w:rsid w:val="00B94CD1"/>
    <w:rsid w:val="00BD368F"/>
    <w:rsid w:val="00BE1E7D"/>
    <w:rsid w:val="00CB5739"/>
    <w:rsid w:val="00D3609D"/>
    <w:rsid w:val="00D57AEC"/>
    <w:rsid w:val="00DE3AE2"/>
    <w:rsid w:val="00EC2CE6"/>
    <w:rsid w:val="00EE2B6A"/>
    <w:rsid w:val="00F0679F"/>
    <w:rsid w:val="00F75148"/>
    <w:rsid w:val="011A052D"/>
    <w:rsid w:val="013369C0"/>
    <w:rsid w:val="020C075A"/>
    <w:rsid w:val="039D4EBB"/>
    <w:rsid w:val="05455EA5"/>
    <w:rsid w:val="055E43CA"/>
    <w:rsid w:val="056A369C"/>
    <w:rsid w:val="059C019B"/>
    <w:rsid w:val="07866C08"/>
    <w:rsid w:val="09721CFD"/>
    <w:rsid w:val="0A0501E5"/>
    <w:rsid w:val="0CB33DBE"/>
    <w:rsid w:val="0DAA0595"/>
    <w:rsid w:val="0EE61A03"/>
    <w:rsid w:val="0F603D65"/>
    <w:rsid w:val="11651569"/>
    <w:rsid w:val="12570D52"/>
    <w:rsid w:val="1271541C"/>
    <w:rsid w:val="13494431"/>
    <w:rsid w:val="13610535"/>
    <w:rsid w:val="14231876"/>
    <w:rsid w:val="142A0E33"/>
    <w:rsid w:val="15186AF6"/>
    <w:rsid w:val="152840ED"/>
    <w:rsid w:val="15291E57"/>
    <w:rsid w:val="15D03C4D"/>
    <w:rsid w:val="16921DD7"/>
    <w:rsid w:val="17B05EE9"/>
    <w:rsid w:val="19A25EFE"/>
    <w:rsid w:val="19D64F91"/>
    <w:rsid w:val="1A0465EA"/>
    <w:rsid w:val="1A9722A8"/>
    <w:rsid w:val="1B465638"/>
    <w:rsid w:val="1B554ADE"/>
    <w:rsid w:val="1B931656"/>
    <w:rsid w:val="1BB75D37"/>
    <w:rsid w:val="1BCA4BE4"/>
    <w:rsid w:val="1C8A4C60"/>
    <w:rsid w:val="1D6C2A44"/>
    <w:rsid w:val="1E7C1704"/>
    <w:rsid w:val="1FF3773F"/>
    <w:rsid w:val="201229E6"/>
    <w:rsid w:val="21335201"/>
    <w:rsid w:val="22216D3A"/>
    <w:rsid w:val="23490958"/>
    <w:rsid w:val="25295F4E"/>
    <w:rsid w:val="254B092E"/>
    <w:rsid w:val="25551BCF"/>
    <w:rsid w:val="25BD32CA"/>
    <w:rsid w:val="26107B6D"/>
    <w:rsid w:val="267E2BCF"/>
    <w:rsid w:val="26FA5A2A"/>
    <w:rsid w:val="272208C0"/>
    <w:rsid w:val="27494F4F"/>
    <w:rsid w:val="28925245"/>
    <w:rsid w:val="2AD34C13"/>
    <w:rsid w:val="2B053749"/>
    <w:rsid w:val="2B6A141E"/>
    <w:rsid w:val="2BD878E0"/>
    <w:rsid w:val="2C445EF7"/>
    <w:rsid w:val="2D0676F3"/>
    <w:rsid w:val="2DEA097A"/>
    <w:rsid w:val="30D06F6B"/>
    <w:rsid w:val="31430424"/>
    <w:rsid w:val="34401981"/>
    <w:rsid w:val="35971CBE"/>
    <w:rsid w:val="36535289"/>
    <w:rsid w:val="36537D31"/>
    <w:rsid w:val="37595999"/>
    <w:rsid w:val="37C452B3"/>
    <w:rsid w:val="390F482E"/>
    <w:rsid w:val="3A020797"/>
    <w:rsid w:val="3A7F7301"/>
    <w:rsid w:val="3ADE2C71"/>
    <w:rsid w:val="3C460564"/>
    <w:rsid w:val="3C7A7DC8"/>
    <w:rsid w:val="3CF15FED"/>
    <w:rsid w:val="3D7C020C"/>
    <w:rsid w:val="3DB623E1"/>
    <w:rsid w:val="3E13135E"/>
    <w:rsid w:val="3E330283"/>
    <w:rsid w:val="3E512C35"/>
    <w:rsid w:val="3F462551"/>
    <w:rsid w:val="458D3518"/>
    <w:rsid w:val="46BA324A"/>
    <w:rsid w:val="47046E38"/>
    <w:rsid w:val="48482A6F"/>
    <w:rsid w:val="497979B4"/>
    <w:rsid w:val="49BC54C3"/>
    <w:rsid w:val="4C4A541C"/>
    <w:rsid w:val="4CF20861"/>
    <w:rsid w:val="500D4284"/>
    <w:rsid w:val="50483035"/>
    <w:rsid w:val="51AC2AA1"/>
    <w:rsid w:val="5231278F"/>
    <w:rsid w:val="52BC66F4"/>
    <w:rsid w:val="52F00EB4"/>
    <w:rsid w:val="5359737C"/>
    <w:rsid w:val="54AE7C82"/>
    <w:rsid w:val="551E4F50"/>
    <w:rsid w:val="56A96DCF"/>
    <w:rsid w:val="570E2F13"/>
    <w:rsid w:val="58462603"/>
    <w:rsid w:val="58B052E1"/>
    <w:rsid w:val="59A22CBC"/>
    <w:rsid w:val="5A802A56"/>
    <w:rsid w:val="5AB709E4"/>
    <w:rsid w:val="5ADA56C5"/>
    <w:rsid w:val="5B2404B6"/>
    <w:rsid w:val="5BA322BF"/>
    <w:rsid w:val="5CC417D5"/>
    <w:rsid w:val="5CD55BDB"/>
    <w:rsid w:val="5EA44E35"/>
    <w:rsid w:val="5EB5287F"/>
    <w:rsid w:val="603E4779"/>
    <w:rsid w:val="6046145B"/>
    <w:rsid w:val="60722887"/>
    <w:rsid w:val="609E7C01"/>
    <w:rsid w:val="61696626"/>
    <w:rsid w:val="62A92784"/>
    <w:rsid w:val="63A62CB0"/>
    <w:rsid w:val="63C1263B"/>
    <w:rsid w:val="649D0186"/>
    <w:rsid w:val="65206902"/>
    <w:rsid w:val="65461FDF"/>
    <w:rsid w:val="66115D44"/>
    <w:rsid w:val="66830A72"/>
    <w:rsid w:val="66AA1FF0"/>
    <w:rsid w:val="66CE0858"/>
    <w:rsid w:val="67EF294E"/>
    <w:rsid w:val="684136D4"/>
    <w:rsid w:val="6A7502D4"/>
    <w:rsid w:val="6B210D04"/>
    <w:rsid w:val="6F472BCC"/>
    <w:rsid w:val="70237AD8"/>
    <w:rsid w:val="70A62B12"/>
    <w:rsid w:val="72661AF5"/>
    <w:rsid w:val="72DC2B25"/>
    <w:rsid w:val="73AB796D"/>
    <w:rsid w:val="73CD1400"/>
    <w:rsid w:val="73F95D88"/>
    <w:rsid w:val="74327ACF"/>
    <w:rsid w:val="75D533E6"/>
    <w:rsid w:val="760D0259"/>
    <w:rsid w:val="761F4953"/>
    <w:rsid w:val="76340B53"/>
    <w:rsid w:val="76412B20"/>
    <w:rsid w:val="78751018"/>
    <w:rsid w:val="78CB7CFF"/>
    <w:rsid w:val="79257659"/>
    <w:rsid w:val="794F39EC"/>
    <w:rsid w:val="7A6C1BEE"/>
    <w:rsid w:val="7AB3627F"/>
    <w:rsid w:val="7B007056"/>
    <w:rsid w:val="7B83399D"/>
    <w:rsid w:val="7BE775FD"/>
    <w:rsid w:val="7CCB363C"/>
    <w:rsid w:val="7E2A781D"/>
    <w:rsid w:val="7F7668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2"/>
    <w:basedOn w:val="1"/>
    <w:qFormat/>
    <w:uiPriority w:val="99"/>
    <w:pPr>
      <w:spacing w:after="120" w:line="480" w:lineRule="auto"/>
    </w:pPr>
    <w:rPr>
      <w:rFonts w:ascii="Calibri" w:hAnsi="Calibri" w:eastAsia="宋体" w:cs="Times New Roma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Www.PcGho.Com</Company>
  <Pages>6</Pages>
  <Words>2534</Words>
  <Characters>2871</Characters>
  <Lines>25</Lines>
  <Paragraphs>7</Paragraphs>
  <TotalTime>13</TotalTime>
  <ScaleCrop>false</ScaleCrop>
  <LinksUpToDate>false</LinksUpToDate>
  <CharactersWithSpaces>2874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2020-11-26T03:44:00Z</dcterms:created>
  <dc:creator>Administrator</dc:creator>
  <cp:lastModifiedBy>admin</cp:lastModifiedBy>
  <cp:lastPrinted>2020-12-22T08:35:00Z</cp:lastPrinted>
  <dcterms:modified xsi:type="dcterms:W3CDTF">2023-10-18T02:52:16Z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5BC99DE4F3EA4F5B93116CC5746DBBF6</vt:lpwstr>
  </property>
</Properties>
</file>