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hint="eastAsia" w:ascii="Times New Roman" w:eastAsia="宋体"/>
          <w:sz w:val="20"/>
          <w:lang w:eastAsia="zh-CN"/>
        </w:rPr>
      </w:pPr>
      <w:r>
        <w:rPr>
          <w:rFonts w:hint="eastAsia" w:ascii="Times New Roman"/>
          <w:sz w:val="20"/>
          <w:lang w:val="en-US" w:eastAsia="zh-CN"/>
        </w:rPr>
        <w:t xml:space="preserve"> </w:t>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jc w:val="center"/>
        <w:rPr>
          <w:b/>
          <w:sz w:val="68"/>
          <w:szCs w:val="68"/>
        </w:rPr>
      </w:pPr>
      <w:r>
        <w:rPr>
          <w:rFonts w:hint="eastAsia"/>
          <w:b/>
          <w:sz w:val="68"/>
          <w:szCs w:val="68"/>
        </w:rPr>
        <w:t>遂溪县气象公共服务白皮书</w:t>
      </w:r>
    </w:p>
    <w:p>
      <w:pPr>
        <w:jc w:val="center"/>
        <w:rPr>
          <w:sz w:val="72"/>
          <w:szCs w:val="72"/>
        </w:rPr>
      </w:pPr>
    </w:p>
    <w:p>
      <w:pPr>
        <w:jc w:val="center"/>
        <w:rPr>
          <w:sz w:val="72"/>
          <w:szCs w:val="72"/>
        </w:rPr>
      </w:pPr>
      <w:r>
        <w:rPr>
          <w:rFonts w:hint="eastAsia"/>
          <w:sz w:val="72"/>
          <w:szCs w:val="72"/>
        </w:rPr>
        <w:t>（</w:t>
      </w:r>
      <w:r>
        <w:rPr>
          <w:rFonts w:hint="eastAsia"/>
          <w:sz w:val="72"/>
          <w:szCs w:val="72"/>
          <w:lang w:eastAsia="zh-CN"/>
        </w:rPr>
        <w:t>2023年</w:t>
      </w:r>
      <w:r>
        <w:rPr>
          <w:rFonts w:hint="eastAsia"/>
          <w:sz w:val="72"/>
          <w:szCs w:val="72"/>
        </w:rPr>
        <w:t>）</w:t>
      </w:r>
    </w:p>
    <w:p>
      <w:pPr>
        <w:pStyle w:val="5"/>
        <w:rPr>
          <w:rFonts w:ascii="Microsoft JhengHei"/>
          <w:b/>
          <w:sz w:val="52"/>
        </w:rPr>
      </w:pPr>
    </w:p>
    <w:p>
      <w:pPr>
        <w:pStyle w:val="5"/>
        <w:rPr>
          <w:rFonts w:ascii="Microsoft JhengHei"/>
          <w:b/>
          <w:sz w:val="52"/>
        </w:rPr>
      </w:pPr>
    </w:p>
    <w:p>
      <w:pPr>
        <w:pStyle w:val="5"/>
        <w:rPr>
          <w:rFonts w:ascii="Microsoft JhengHei"/>
          <w:b/>
          <w:sz w:val="52"/>
        </w:rPr>
      </w:pPr>
    </w:p>
    <w:p>
      <w:pPr>
        <w:pStyle w:val="5"/>
        <w:rPr>
          <w:rFonts w:ascii="Microsoft JhengHei"/>
          <w:b/>
          <w:sz w:val="52"/>
        </w:rPr>
      </w:pPr>
    </w:p>
    <w:p>
      <w:pPr>
        <w:pStyle w:val="5"/>
        <w:rPr>
          <w:rFonts w:ascii="Microsoft JhengHei"/>
          <w:b/>
          <w:sz w:val="52"/>
        </w:rPr>
      </w:pPr>
    </w:p>
    <w:p>
      <w:pPr>
        <w:pStyle w:val="5"/>
        <w:spacing w:before="17"/>
        <w:rPr>
          <w:rFonts w:ascii="Microsoft JhengHei"/>
          <w:b/>
          <w:sz w:val="47"/>
        </w:rPr>
      </w:pPr>
    </w:p>
    <w:p>
      <w:pPr>
        <w:spacing w:before="0"/>
        <w:ind w:left="1013" w:right="1673" w:firstLine="0"/>
        <w:jc w:val="center"/>
        <w:rPr>
          <w:sz w:val="44"/>
        </w:rPr>
      </w:pPr>
      <w:r>
        <w:rPr>
          <w:rFonts w:hint="eastAsia"/>
          <w:sz w:val="44"/>
          <w:lang w:eastAsia="zh-CN"/>
        </w:rPr>
        <w:t>广东省遂溪县气象局</w:t>
      </w:r>
    </w:p>
    <w:p>
      <w:pPr>
        <w:spacing w:after="0"/>
        <w:jc w:val="center"/>
        <w:rPr>
          <w:sz w:val="44"/>
        </w:rPr>
        <w:sectPr>
          <w:footerReference r:id="rId5" w:type="default"/>
          <w:type w:val="continuous"/>
          <w:pgSz w:w="11910" w:h="16840"/>
          <w:pgMar w:top="1580" w:right="1020" w:bottom="1380" w:left="1680" w:header="720" w:footer="1184" w:gutter="0"/>
          <w:pgNumType w:start="1"/>
          <w:cols w:space="720" w:num="1"/>
        </w:sectPr>
      </w:pPr>
    </w:p>
    <w:p>
      <w:pPr>
        <w:spacing w:before="9"/>
        <w:ind w:left="1013" w:right="1674" w:firstLine="0"/>
        <w:jc w:val="center"/>
        <w:rPr>
          <w:sz w:val="48"/>
        </w:rPr>
      </w:pPr>
      <w:r>
        <w:rPr>
          <w:sz w:val="48"/>
        </w:rPr>
        <w:t>目录</w:t>
      </w:r>
    </w:p>
    <w:sdt>
      <w:sdtPr>
        <w:rPr>
          <w:rFonts w:ascii="宋体" w:hAnsi="宋体" w:eastAsia="宋体" w:cs="宋体"/>
          <w:sz w:val="21"/>
          <w:szCs w:val="22"/>
          <w:lang w:val="zh-CN" w:eastAsia="zh-CN" w:bidi="zh-CN"/>
        </w:rPr>
        <w:id w:val="147473874"/>
        <w15:color w:val="DBDBDB"/>
        <w:docPartObj>
          <w:docPartGallery w:val="Table of Contents"/>
          <w:docPartUnique/>
        </w:docPartObj>
      </w:sdtPr>
      <w:sdtEndPr>
        <w:rPr>
          <w:rFonts w:hint="eastAsia" w:asciiTheme="minorEastAsia" w:hAnsiTheme="minorEastAsia" w:eastAsiaTheme="minorEastAsia" w:cstheme="minorEastAsia"/>
          <w:sz w:val="28"/>
          <w:szCs w:val="28"/>
          <w:lang w:val="zh-CN" w:eastAsia="zh-CN" w:bidi="zh-CN"/>
        </w:rPr>
      </w:sdtEndPr>
      <w:sdtContent>
        <w:p>
          <w:pPr>
            <w:spacing w:before="0" w:beforeLines="0" w:after="0" w:afterLines="0" w:line="240" w:lineRule="auto"/>
            <w:ind w:left="0" w:leftChars="0" w:right="0" w:rightChars="0" w:firstLine="0" w:firstLineChars="0"/>
            <w:jc w:val="center"/>
          </w:pPr>
          <w:bookmarkStart w:id="0" w:name="_Toc22159_WPSOffice_Type3"/>
        </w:p>
        <w:p>
          <w:pPr>
            <w:pStyle w:val="18"/>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_Toc3420_WPSOffice_Level1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a0f17f91-1587-44f3-986e-799570e8a386}"/>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前言</w:t>
              </w:r>
            </w:sdtContent>
          </w:sdt>
          <w:r>
            <w:rPr>
              <w:rFonts w:hint="eastAsia" w:asciiTheme="minorEastAsia" w:hAnsiTheme="minorEastAsia" w:eastAsiaTheme="minorEastAsia" w:cstheme="minorEastAsia"/>
              <w:sz w:val="28"/>
              <w:szCs w:val="28"/>
            </w:rPr>
            <w:tab/>
          </w:r>
          <w:bookmarkStart w:id="1" w:name="_Toc3420_WPSOffice_Level1Page"/>
          <w:r>
            <w:rPr>
              <w:rFonts w:hint="eastAsia" w:asciiTheme="minorEastAsia" w:hAnsiTheme="minorEastAsia" w:eastAsiaTheme="minorEastAsia" w:cstheme="minorEastAsia"/>
              <w:sz w:val="28"/>
              <w:szCs w:val="28"/>
            </w:rPr>
            <w:t>3</w:t>
          </w:r>
          <w:bookmarkEnd w:id="1"/>
          <w:r>
            <w:rPr>
              <w:rFonts w:hint="eastAsia" w:asciiTheme="minorEastAsia" w:hAnsiTheme="minorEastAsia" w:eastAsiaTheme="minorEastAsia" w:cstheme="minorEastAsia"/>
              <w:sz w:val="28"/>
              <w:szCs w:val="28"/>
            </w:rPr>
            <w:fldChar w:fldCharType="end"/>
          </w:r>
        </w:p>
        <w:p>
          <w:pPr>
            <w:pStyle w:val="18"/>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_Toc22159_WPSOffice_Level1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d67ece0c-6f1d-44c1-b453-17320c0b1733}"/>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一、</w:t>
              </w:r>
              <w:r>
                <w:rPr>
                  <w:rFonts w:hint="eastAsia" w:asciiTheme="minorEastAsia" w:hAnsiTheme="minorEastAsia" w:eastAsiaTheme="minorEastAsia" w:cstheme="minorEastAsia"/>
                  <w:sz w:val="28"/>
                  <w:szCs w:val="28"/>
                  <w:lang w:eastAsia="zh-CN"/>
                </w:rPr>
                <w:t>2022年</w:t>
              </w:r>
              <w:r>
                <w:rPr>
                  <w:rFonts w:hint="eastAsia" w:asciiTheme="minorEastAsia" w:hAnsiTheme="minorEastAsia" w:eastAsiaTheme="minorEastAsia" w:cstheme="minorEastAsia"/>
                  <w:sz w:val="28"/>
                  <w:szCs w:val="28"/>
                </w:rPr>
                <w:t>气象服务总结回顾</w:t>
              </w:r>
            </w:sdtContent>
          </w:sdt>
          <w:r>
            <w:rPr>
              <w:rFonts w:hint="eastAsia" w:asciiTheme="minorEastAsia" w:hAnsiTheme="minorEastAsia" w:eastAsiaTheme="minorEastAsia" w:cstheme="minorEastAsia"/>
              <w:sz w:val="28"/>
              <w:szCs w:val="28"/>
            </w:rPr>
            <w:tab/>
          </w:r>
          <w:bookmarkStart w:id="2" w:name="_Toc22159_WPSOffice_Level1Page"/>
          <w:r>
            <w:rPr>
              <w:rFonts w:hint="eastAsia" w:asciiTheme="minorEastAsia" w:hAnsiTheme="minorEastAsia" w:eastAsiaTheme="minorEastAsia" w:cstheme="minorEastAsia"/>
              <w:sz w:val="28"/>
              <w:szCs w:val="28"/>
            </w:rPr>
            <w:t>4</w:t>
          </w:r>
          <w:bookmarkEnd w:id="2"/>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_Toc22159_WPSOffice_Level2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13a2cf6e-0a94-40ff-b881-143618f96f4f}"/>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（一）</w:t>
              </w:r>
              <w:r>
                <w:rPr>
                  <w:rFonts w:hint="eastAsia" w:asciiTheme="minorEastAsia" w:hAnsiTheme="minorEastAsia" w:eastAsiaTheme="minorEastAsia" w:cstheme="minorEastAsia"/>
                  <w:sz w:val="28"/>
                  <w:szCs w:val="28"/>
                  <w:lang w:eastAsia="zh-CN"/>
                </w:rPr>
                <w:t>2022年</w:t>
              </w:r>
              <w:r>
                <w:rPr>
                  <w:rFonts w:hint="eastAsia" w:asciiTheme="minorEastAsia" w:hAnsiTheme="minorEastAsia" w:eastAsiaTheme="minorEastAsia" w:cstheme="minorEastAsia"/>
                  <w:sz w:val="28"/>
                  <w:szCs w:val="28"/>
                </w:rPr>
                <w:t>天气气候概况</w:t>
              </w:r>
            </w:sdtContent>
          </w:sdt>
          <w:r>
            <w:rPr>
              <w:rFonts w:hint="eastAsia" w:asciiTheme="minorEastAsia" w:hAnsiTheme="minorEastAsia" w:eastAsiaTheme="minorEastAsia" w:cstheme="minorEastAsia"/>
              <w:sz w:val="28"/>
              <w:szCs w:val="28"/>
            </w:rPr>
            <w:tab/>
          </w:r>
          <w:bookmarkStart w:id="3" w:name="_Toc22159_WPSOffice_Level2Page"/>
          <w:r>
            <w:rPr>
              <w:rFonts w:hint="eastAsia" w:asciiTheme="minorEastAsia" w:hAnsiTheme="minorEastAsia" w:eastAsiaTheme="minorEastAsia" w:cstheme="minorEastAsia"/>
              <w:sz w:val="28"/>
              <w:szCs w:val="28"/>
            </w:rPr>
            <w:t>4</w:t>
          </w:r>
          <w:bookmarkEnd w:id="3"/>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_Toc1384_WPSOffice_Level2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59fc8fef-c02c-4e56-a8f0-e62de3bb88cb}"/>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（二）</w:t>
              </w:r>
              <w:r>
                <w:rPr>
                  <w:rFonts w:hint="eastAsia" w:asciiTheme="minorEastAsia" w:hAnsiTheme="minorEastAsia" w:eastAsiaTheme="minorEastAsia" w:cstheme="minorEastAsia"/>
                  <w:sz w:val="28"/>
                  <w:szCs w:val="28"/>
                  <w:lang w:eastAsia="zh-CN"/>
                </w:rPr>
                <w:t>2022年</w:t>
              </w:r>
              <w:r>
                <w:rPr>
                  <w:rFonts w:hint="eastAsia" w:asciiTheme="minorEastAsia" w:hAnsiTheme="minorEastAsia" w:eastAsiaTheme="minorEastAsia" w:cstheme="minorEastAsia"/>
                  <w:sz w:val="28"/>
                  <w:szCs w:val="28"/>
                </w:rPr>
                <w:t>气象服务情况总结</w:t>
              </w:r>
            </w:sdtContent>
          </w:sdt>
          <w:r>
            <w:rPr>
              <w:rFonts w:hint="eastAsia" w:asciiTheme="minorEastAsia" w:hAnsiTheme="minorEastAsia" w:eastAsiaTheme="minorEastAsia" w:cstheme="minorEastAsia"/>
              <w:sz w:val="28"/>
              <w:szCs w:val="28"/>
            </w:rPr>
            <w:tab/>
          </w:r>
          <w:bookmarkStart w:id="4" w:name="_Toc1384_WPSOffice_Level2Page"/>
          <w:r>
            <w:rPr>
              <w:rFonts w:hint="eastAsia" w:asciiTheme="minorEastAsia" w:hAnsiTheme="minorEastAsia" w:eastAsiaTheme="minorEastAsia" w:cstheme="minorEastAsia"/>
              <w:sz w:val="28"/>
              <w:szCs w:val="28"/>
            </w:rPr>
            <w:t>4</w:t>
          </w:r>
          <w:bookmarkEnd w:id="4"/>
          <w:r>
            <w:rPr>
              <w:rFonts w:hint="eastAsia" w:asciiTheme="minorEastAsia" w:hAnsiTheme="minorEastAsia" w:eastAsiaTheme="minorEastAsia" w:cstheme="minorEastAsia"/>
              <w:sz w:val="28"/>
              <w:szCs w:val="28"/>
            </w:rPr>
            <w:fldChar w:fldCharType="end"/>
          </w:r>
        </w:p>
        <w:p>
          <w:pPr>
            <w:pStyle w:val="18"/>
            <w:tabs>
              <w:tab w:val="right" w:leader="dot" w:pos="9210"/>
            </w:tabs>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8"/>
              <w:szCs w:val="28"/>
              <w14:textFill>
                <w14:solidFill>
                  <w14:schemeClr w14:val="tx1"/>
                </w14:solidFill>
              </w14:textFill>
            </w:rPr>
            <w:instrText xml:space="preserve"> HYPERLINK \l _Toc1384_WPSOffice_Level1 </w:instrText>
          </w:r>
          <w:r>
            <w:rPr>
              <w:rFonts w:hint="eastAsia" w:asciiTheme="minorEastAsia" w:hAnsiTheme="minorEastAsia" w:eastAsiaTheme="minorEastAsia" w:cstheme="minorEastAsia"/>
              <w:color w:val="000000" w:themeColor="text1"/>
              <w:sz w:val="28"/>
              <w:szCs w:val="28"/>
              <w14:textFill>
                <w14:solidFill>
                  <w14:schemeClr w14:val="tx1"/>
                </w14:solidFill>
              </w14:textFill>
            </w:rPr>
            <w:fldChar w:fldCharType="separate"/>
          </w:r>
          <w:sdt>
            <w:sdtPr>
              <w:rPr>
                <w:rFonts w:hint="eastAsia" w:asciiTheme="minorEastAsia" w:hAnsiTheme="minorEastAsia" w:eastAsiaTheme="minorEastAsia" w:cstheme="minorEastAsia"/>
                <w:color w:val="000000" w:themeColor="text1"/>
                <w:sz w:val="28"/>
                <w:szCs w:val="28"/>
                <w:lang w:val="zh-CN" w:eastAsia="zh-CN" w:bidi="zh-CN"/>
                <w14:textFill>
                  <w14:solidFill>
                    <w14:schemeClr w14:val="tx1"/>
                  </w14:solidFill>
                </w14:textFill>
              </w:rPr>
              <w:id w:val="147473874"/>
              <w:placeholder>
                <w:docPart w:val="{42bfaaf9-38df-48ee-afa1-da7d3d436f41}"/>
              </w:placeholder>
              <w15:color w:val="509DF3"/>
            </w:sdtPr>
            <w:sdtEndPr>
              <w:rPr>
                <w:rFonts w:hint="eastAsia" w:asciiTheme="minorEastAsia" w:hAnsiTheme="minorEastAsia" w:eastAsiaTheme="minorEastAsia" w:cstheme="minorEastAsia"/>
                <w:color w:val="000000" w:themeColor="text1"/>
                <w:sz w:val="28"/>
                <w:szCs w:val="28"/>
                <w:lang w:val="zh-CN" w:eastAsia="zh-CN" w:bidi="zh-CN"/>
                <w14:textFill>
                  <w14:solidFill>
                    <w14:schemeClr w14:val="tx1"/>
                  </w14:solidFill>
                </w14:textFill>
              </w:rPr>
            </w:sdtEndPr>
            <w:sdtContent>
              <w:r>
                <w:rPr>
                  <w:rFonts w:hint="eastAsia" w:asciiTheme="minorEastAsia" w:hAnsiTheme="minorEastAsia" w:eastAsiaTheme="minorEastAsia" w:cstheme="minorEastAsia"/>
                  <w:color w:val="000000" w:themeColor="text1"/>
                  <w:sz w:val="28"/>
                  <w:szCs w:val="28"/>
                  <w14:textFill>
                    <w14:solidFill>
                      <w14:schemeClr w14:val="tx1"/>
                    </w14:solidFill>
                  </w14:textFill>
                </w:rPr>
                <w:t>二、</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2023</w:t>
              </w:r>
              <w:r>
                <w:rPr>
                  <w:rFonts w:hint="eastAsia" w:asciiTheme="minorEastAsia" w:hAnsiTheme="minorEastAsia" w:eastAsiaTheme="minorEastAsia" w:cstheme="minorEastAsia"/>
                  <w:color w:val="000000" w:themeColor="text1"/>
                  <w:sz w:val="28"/>
                  <w:szCs w:val="28"/>
                  <w14:textFill>
                    <w14:solidFill>
                      <w14:schemeClr w14:val="tx1"/>
                    </w14:solidFill>
                  </w14:textFill>
                </w:rPr>
                <w:t>年气象服务工作计划</w:t>
              </w:r>
            </w:sdtContent>
          </w:sdt>
          <w:r>
            <w:rPr>
              <w:rFonts w:hint="eastAsia" w:asciiTheme="minorEastAsia" w:hAnsiTheme="minorEastAsia" w:eastAsiaTheme="minorEastAsia" w:cstheme="minorEastAsia"/>
              <w:color w:val="000000" w:themeColor="text1"/>
              <w:sz w:val="28"/>
              <w:szCs w:val="28"/>
              <w14:textFill>
                <w14:solidFill>
                  <w14:schemeClr w14:val="tx1"/>
                </w14:solidFill>
              </w14:textFill>
            </w:rPr>
            <w:tab/>
          </w:r>
          <w:bookmarkStart w:id="5" w:name="_Toc1384_WPSOffice_Level1Page"/>
          <w:r>
            <w:rPr>
              <w:rFonts w:hint="eastAsia" w:asciiTheme="minorEastAsia" w:hAnsiTheme="minorEastAsia" w:eastAsiaTheme="minorEastAsia" w:cstheme="minorEastAsia"/>
              <w:color w:val="000000" w:themeColor="text1"/>
              <w:sz w:val="28"/>
              <w:szCs w:val="28"/>
              <w14:textFill>
                <w14:solidFill>
                  <w14:schemeClr w14:val="tx1"/>
                </w14:solidFill>
              </w14:textFill>
            </w:rPr>
            <w:t>5</w:t>
          </w:r>
          <w:bookmarkEnd w:id="5"/>
          <w:r>
            <w:rPr>
              <w:rFonts w:hint="eastAsia" w:asciiTheme="minorEastAsia" w:hAnsiTheme="minorEastAsia" w:eastAsiaTheme="minorEastAsia" w:cstheme="minorEastAsia"/>
              <w:color w:val="000000" w:themeColor="text1"/>
              <w:sz w:val="28"/>
              <w:szCs w:val="28"/>
              <w14:textFill>
                <w14:solidFill>
                  <w14:schemeClr w14:val="tx1"/>
                </w14:solidFill>
              </w14:textFill>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_Toc19917_WPSOffice_Level2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rPr>
              <w:id w:val="147473874"/>
              <w:placeholder>
                <w:docPart w:val="{2a4dff6c-b241-4ed1-9ff2-baf17752e569}"/>
              </w:placeholder>
              <w15:color w:val="509DF3"/>
            </w:sdtPr>
            <w:sdtEndPr>
              <w:rPr>
                <w:rFonts w:hint="eastAsia" w:asciiTheme="minorEastAsia" w:hAnsiTheme="minorEastAsia" w:eastAsiaTheme="minorEastAsia" w:cstheme="minorEastAsia"/>
                <w:sz w:val="28"/>
                <w:szCs w:val="28"/>
                <w:lang w:val="zh-CN" w:eastAsia="zh-CN"/>
              </w:rPr>
            </w:sdtEndPr>
            <w:sdtContent>
              <w:r>
                <w:rPr>
                  <w:rFonts w:hint="eastAsia" w:asciiTheme="minorEastAsia" w:hAnsiTheme="minorEastAsia" w:eastAsiaTheme="minorEastAsia" w:cstheme="minorEastAsia"/>
                  <w:sz w:val="28"/>
                  <w:szCs w:val="28"/>
                </w:rPr>
                <w:t>（一）</w:t>
              </w:r>
              <w:r>
                <w:rPr>
                  <w:rFonts w:hint="eastAsia" w:asciiTheme="minorEastAsia" w:hAnsiTheme="minorEastAsia" w:eastAsiaTheme="minorEastAsia" w:cstheme="minorEastAsia"/>
                  <w:sz w:val="28"/>
                  <w:szCs w:val="28"/>
                  <w:lang w:val="en-US" w:eastAsia="zh-CN"/>
                </w:rPr>
                <w:t>积极发挥气象防灾减灾第一道防线作用</w:t>
              </w:r>
            </w:sdtContent>
          </w:sdt>
          <w:r>
            <w:rPr>
              <w:rFonts w:hint="eastAsia" w:asciiTheme="minorEastAsia" w:hAnsiTheme="minorEastAsia" w:eastAsiaTheme="minorEastAsia" w:cstheme="minorEastAsia"/>
              <w:sz w:val="28"/>
              <w:szCs w:val="28"/>
            </w:rPr>
            <w:tab/>
          </w:r>
          <w:bookmarkStart w:id="6" w:name="_Toc19917_WPSOffice_Level2Page"/>
          <w:r>
            <w:rPr>
              <w:rFonts w:hint="eastAsia" w:asciiTheme="minorEastAsia" w:hAnsiTheme="minorEastAsia" w:eastAsiaTheme="minorEastAsia" w:cstheme="minorEastAsia"/>
              <w:sz w:val="28"/>
              <w:szCs w:val="28"/>
            </w:rPr>
            <w:t>5</w:t>
          </w:r>
          <w:bookmarkEnd w:id="6"/>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_Toc30466_WPSOffice_Level2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rPr>
              <w:id w:val="147473874"/>
              <w:placeholder>
                <w:docPart w:val="{74e8d728-3e82-4273-8c64-18b0707029ce}"/>
              </w:placeholder>
              <w15:color w:val="509DF3"/>
            </w:sdtPr>
            <w:sdtEndPr>
              <w:rPr>
                <w:rFonts w:hint="eastAsia" w:asciiTheme="minorEastAsia" w:hAnsiTheme="minorEastAsia" w:eastAsiaTheme="minorEastAsia" w:cstheme="minorEastAsia"/>
                <w:sz w:val="28"/>
                <w:szCs w:val="28"/>
                <w:lang w:val="zh-CN" w:eastAsia="zh-CN"/>
              </w:rPr>
            </w:sdtEndPr>
            <w:sdtContent>
              <w:r>
                <w:rPr>
                  <w:rFonts w:hint="eastAsia" w:asciiTheme="minorEastAsia" w:hAnsiTheme="minorEastAsia" w:eastAsiaTheme="minorEastAsia" w:cstheme="minorEastAsia"/>
                  <w:sz w:val="28"/>
                  <w:szCs w:val="28"/>
                </w:rPr>
                <w:t>（二）</w:t>
              </w:r>
              <w:r>
                <w:rPr>
                  <w:rFonts w:hint="eastAsia" w:asciiTheme="minorEastAsia" w:hAnsiTheme="minorEastAsia" w:eastAsiaTheme="minorEastAsia" w:cstheme="minorEastAsia"/>
                  <w:sz w:val="28"/>
                  <w:szCs w:val="28"/>
                  <w:lang w:val="zh-CN" w:eastAsia="zh-CN"/>
                </w:rPr>
                <w:t>发展“智慧气象”，提升气象保障服务水平</w:t>
              </w:r>
            </w:sdtContent>
          </w:sdt>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_Toc12455_WPSOffice_Level2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rPr>
              <w:id w:val="147473874"/>
              <w:placeholder>
                <w:docPart w:val="{4b0d09ed-5433-4555-a913-250dabd1258c}"/>
              </w:placeholder>
              <w15:color w:val="509DF3"/>
            </w:sdtPr>
            <w:sdtEndPr>
              <w:rPr>
                <w:rFonts w:hint="eastAsia" w:asciiTheme="minorEastAsia" w:hAnsiTheme="minorEastAsia" w:eastAsiaTheme="minorEastAsia" w:cstheme="minorEastAsia"/>
                <w:sz w:val="28"/>
                <w:szCs w:val="28"/>
                <w:lang w:val="zh-CN" w:eastAsia="zh-CN"/>
              </w:rPr>
            </w:sdtEndPr>
            <w:sdtContent>
              <w:r>
                <w:rPr>
                  <w:rFonts w:hint="eastAsia" w:asciiTheme="minorEastAsia" w:hAnsiTheme="minorEastAsia" w:eastAsiaTheme="minorEastAsia" w:cstheme="minorEastAsia"/>
                  <w:sz w:val="28"/>
                  <w:szCs w:val="28"/>
                </w:rPr>
                <w:t>（三）做好“乡村振兴”战略建设服务</w:t>
              </w:r>
            </w:sdtContent>
          </w:sdt>
          <w:r>
            <w:rPr>
              <w:rFonts w:hint="eastAsia" w:asciiTheme="minorEastAsia" w:hAnsiTheme="minorEastAsia" w:eastAsiaTheme="minorEastAsia" w:cstheme="minorEastAsia"/>
              <w:sz w:val="28"/>
              <w:szCs w:val="28"/>
            </w:rPr>
            <w:tab/>
          </w:r>
          <w:bookmarkStart w:id="7" w:name="_Toc12455_WPSOffice_Level2Page"/>
          <w:r>
            <w:rPr>
              <w:rFonts w:hint="eastAsia" w:asciiTheme="minorEastAsia" w:hAnsiTheme="minorEastAsia" w:eastAsiaTheme="minorEastAsia" w:cstheme="minorEastAsia"/>
              <w:sz w:val="28"/>
              <w:szCs w:val="28"/>
            </w:rPr>
            <w:t>6</w:t>
          </w:r>
          <w:bookmarkEnd w:id="7"/>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themeColor="text1"/>
              <w:sz w:val="28"/>
              <w:szCs w:val="28"/>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8"/>
              <w:szCs w:val="28"/>
              <w14:textFill>
                <w14:solidFill>
                  <w14:schemeClr w14:val="tx1"/>
                </w14:solidFill>
              </w14:textFill>
            </w:rPr>
            <w:instrText xml:space="preserve"> HYPERLINK \l _Toc28320_WPSOffice_Level2 </w:instrText>
          </w:r>
          <w:r>
            <w:rPr>
              <w:rFonts w:hint="eastAsia" w:asciiTheme="minorEastAsia" w:hAnsiTheme="minorEastAsia" w:eastAsiaTheme="minorEastAsia" w:cstheme="minorEastAsia"/>
              <w:color w:val="000000" w:themeColor="text1"/>
              <w:sz w:val="28"/>
              <w:szCs w:val="28"/>
              <w14:textFill>
                <w14:solidFill>
                  <w14:schemeClr w14:val="tx1"/>
                </w14:solidFill>
              </w14:textFill>
            </w:rPr>
            <w:fldChar w:fldCharType="separate"/>
          </w:r>
          <w:sdt>
            <w:sdtPr>
              <w:rPr>
                <w:rFonts w:hint="eastAsia" w:asciiTheme="minorEastAsia" w:hAnsiTheme="minorEastAsia" w:eastAsiaTheme="minorEastAsia" w:cstheme="minorEastAsia"/>
                <w:color w:val="000000" w:themeColor="text1"/>
                <w:sz w:val="28"/>
                <w:szCs w:val="28"/>
                <w:lang w:val="zh-CN" w:eastAsia="zh-CN" w:bidi="zh-CN"/>
                <w14:textFill>
                  <w14:solidFill>
                    <w14:schemeClr w14:val="tx1"/>
                  </w14:solidFill>
                </w14:textFill>
              </w:rPr>
              <w:id w:val="147473874"/>
              <w:placeholder>
                <w:docPart w:val="{ea185041-e11c-481b-86dd-f01cbd79e696}"/>
              </w:placeholder>
              <w15:color w:val="509DF3"/>
            </w:sdtPr>
            <w:sdtEndPr>
              <w:rPr>
                <w:rFonts w:hint="eastAsia" w:asciiTheme="minorEastAsia" w:hAnsiTheme="minorEastAsia" w:eastAsiaTheme="minorEastAsia" w:cstheme="minorEastAsia"/>
                <w:color w:val="000000" w:themeColor="text1"/>
                <w:sz w:val="28"/>
                <w:szCs w:val="28"/>
                <w:lang w:val="zh-CN" w:eastAsia="zh-CN" w:bidi="zh-CN"/>
                <w14:textFill>
                  <w14:solidFill>
                    <w14:schemeClr w14:val="tx1"/>
                  </w14:solidFill>
                </w14:textFill>
              </w:rPr>
            </w:sdtEndPr>
            <w:sdtContent>
              <w:r>
                <w:rPr>
                  <w:rFonts w:hint="eastAsia" w:asciiTheme="minorEastAsia" w:hAnsiTheme="minorEastAsia" w:eastAsiaTheme="minorEastAsia" w:cstheme="minorEastAsia"/>
                  <w:color w:val="000000" w:themeColor="text1"/>
                  <w:sz w:val="28"/>
                  <w:szCs w:val="28"/>
                  <w14:textFill>
                    <w14:solidFill>
                      <w14:schemeClr w14:val="tx1"/>
                    </w14:solidFill>
                  </w14:textFill>
                </w:rPr>
                <w:t>（四）提升气象防灾减灾科普能力</w:t>
              </w:r>
            </w:sdtContent>
          </w:sdt>
          <w:r>
            <w:rPr>
              <w:rFonts w:hint="eastAsia" w:asciiTheme="minorEastAsia" w:hAnsiTheme="minorEastAsia" w:eastAsiaTheme="minorEastAsia" w:cstheme="minorEastAsia"/>
              <w:color w:val="000000" w:themeColor="text1"/>
              <w:sz w:val="28"/>
              <w:szCs w:val="28"/>
              <w14:textFill>
                <w14:solidFill>
                  <w14:schemeClr w14:val="tx1"/>
                </w14:solidFill>
              </w14:textFill>
            </w:rPr>
            <w:tab/>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8"/>
              <w:szCs w:val="28"/>
              <w14:textFill>
                <w14:solidFill>
                  <w14:schemeClr w14:val="tx1"/>
                </w14:solidFill>
              </w14:textFill>
            </w:rPr>
            <w:fldChar w:fldCharType="end"/>
          </w:r>
        </w:p>
        <w:p>
          <w:pPr>
            <w:pStyle w:val="18"/>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_Toc19917_WPSOffice_Level1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267cc65c-32be-4546-9e47-5c1f42c46035}"/>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三、气象服务渠道指引</w:t>
              </w:r>
            </w:sdtContent>
          </w:sdt>
          <w:r>
            <w:rPr>
              <w:rFonts w:hint="eastAsia" w:asciiTheme="minorEastAsia" w:hAnsiTheme="minorEastAsia" w:eastAsiaTheme="minorEastAsia" w:cstheme="minorEastAsia"/>
              <w:sz w:val="28"/>
              <w:szCs w:val="28"/>
            </w:rPr>
            <w:tab/>
          </w:r>
          <w:bookmarkStart w:id="8" w:name="_Toc19917_WPSOffice_Level1Page"/>
          <w:r>
            <w:rPr>
              <w:rFonts w:hint="eastAsia" w:asciiTheme="minorEastAsia" w:hAnsiTheme="minorEastAsia" w:eastAsiaTheme="minorEastAsia" w:cstheme="minorEastAsia"/>
              <w:sz w:val="28"/>
              <w:szCs w:val="28"/>
            </w:rPr>
            <w:t>7</w:t>
          </w:r>
          <w:bookmarkEnd w:id="8"/>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_Toc26243_WPSOffice_Level2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098d0afa-4a09-4d6d-a4a4-c6caa19057d7}"/>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（一）官方微博</w:t>
              </w:r>
            </w:sdtContent>
          </w:sdt>
          <w:r>
            <w:rPr>
              <w:rFonts w:hint="eastAsia" w:asciiTheme="minorEastAsia" w:hAnsiTheme="minorEastAsia" w:eastAsiaTheme="minorEastAsia" w:cstheme="minorEastAsia"/>
              <w:sz w:val="28"/>
              <w:szCs w:val="28"/>
            </w:rPr>
            <w:tab/>
          </w:r>
          <w:bookmarkStart w:id="9" w:name="_Toc26243_WPSOffice_Level2Page"/>
          <w:r>
            <w:rPr>
              <w:rFonts w:hint="eastAsia" w:asciiTheme="minorEastAsia" w:hAnsiTheme="minorEastAsia" w:eastAsiaTheme="minorEastAsia" w:cstheme="minorEastAsia"/>
              <w:sz w:val="28"/>
              <w:szCs w:val="28"/>
            </w:rPr>
            <w:t>7</w:t>
          </w:r>
          <w:bookmarkEnd w:id="9"/>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_Toc18100_WPSOffice_Level2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bd9c4083-c957-42f4-bcbd-268cc2e6d7d6}"/>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（二）官方微信</w:t>
              </w:r>
            </w:sdtContent>
          </w:sdt>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8</w:t>
          </w:r>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803812f0-ff9d-4c73-9710-a4153133f299}"/>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（三）“停课铃”客户端</w:t>
              </w:r>
            </w:sdtContent>
          </w:sdt>
          <w:r>
            <w:rPr>
              <w:rFonts w:hint="eastAsia" w:asciiTheme="minorEastAsia" w:hAnsiTheme="minorEastAsia" w:eastAsiaTheme="minorEastAsia" w:cstheme="minorEastAsia"/>
              <w:sz w:val="28"/>
              <w:szCs w:val="28"/>
            </w:rPr>
            <w:tab/>
          </w:r>
          <w:bookmarkStart w:id="10" w:name="_Toc10_WPSOffice_Level2Page"/>
          <w:r>
            <w:rPr>
              <w:rFonts w:hint="eastAsia" w:asciiTheme="minorEastAsia" w:hAnsiTheme="minorEastAsia" w:eastAsiaTheme="minorEastAsia" w:cstheme="minorEastAsia"/>
              <w:sz w:val="28"/>
              <w:szCs w:val="28"/>
            </w:rPr>
            <w:t>9</w:t>
          </w:r>
          <w:bookmarkEnd w:id="10"/>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_Toc24888_WPSOffice_Level2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b94eb835-ec5d-4474-8a49-0782ae5dbd39}"/>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（四）订制天气短信</w:t>
              </w:r>
            </w:sdtContent>
          </w:sdt>
          <w:r>
            <w:rPr>
              <w:rFonts w:hint="eastAsia" w:asciiTheme="minorEastAsia" w:hAnsiTheme="minorEastAsia" w:eastAsiaTheme="minorEastAsia" w:cstheme="minorEastAsia"/>
              <w:sz w:val="28"/>
              <w:szCs w:val="28"/>
            </w:rPr>
            <w:tab/>
          </w:r>
          <w:bookmarkStart w:id="11" w:name="_Toc24888_WPSOffice_Level2Page"/>
          <w:r>
            <w:rPr>
              <w:rFonts w:hint="eastAsia" w:asciiTheme="minorEastAsia" w:hAnsiTheme="minorEastAsia" w:eastAsiaTheme="minorEastAsia" w:cstheme="minorEastAsia"/>
              <w:sz w:val="28"/>
              <w:szCs w:val="28"/>
            </w:rPr>
            <w:t>10</w:t>
          </w:r>
          <w:bookmarkEnd w:id="11"/>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_Toc1352_WPSOffice_Level2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b9ce8706-bb1e-43c4-8b17-3d68b863b422}"/>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（五）“12121”应急气象电话</w:t>
              </w:r>
            </w:sdtContent>
          </w:sdt>
          <w:r>
            <w:rPr>
              <w:rFonts w:hint="eastAsia" w:asciiTheme="minorEastAsia" w:hAnsiTheme="minorEastAsia" w:eastAsiaTheme="minorEastAsia" w:cstheme="minorEastAsia"/>
              <w:sz w:val="28"/>
              <w:szCs w:val="28"/>
            </w:rPr>
            <w:tab/>
          </w:r>
          <w:bookmarkStart w:id="12" w:name="_Toc1352_WPSOffice_Level2Page"/>
          <w:r>
            <w:rPr>
              <w:rFonts w:hint="eastAsia" w:asciiTheme="minorEastAsia" w:hAnsiTheme="minorEastAsia" w:eastAsiaTheme="minorEastAsia" w:cstheme="minorEastAsia"/>
              <w:sz w:val="28"/>
              <w:szCs w:val="28"/>
            </w:rPr>
            <w:t>1</w:t>
          </w:r>
          <w:bookmarkEnd w:id="12"/>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_Toc13499_WPSOffice_Level2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d548f991-583a-4af8-80dc-3c5996b5b455}"/>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（六）电视</w:t>
              </w:r>
            </w:sdtContent>
          </w:sdt>
          <w:r>
            <w:rPr>
              <w:rFonts w:hint="eastAsia" w:asciiTheme="minorEastAsia" w:hAnsiTheme="minorEastAsia" w:eastAsiaTheme="minorEastAsia" w:cstheme="minorEastAsia"/>
              <w:sz w:val="28"/>
              <w:szCs w:val="28"/>
            </w:rPr>
            <w:tab/>
          </w:r>
          <w:bookmarkStart w:id="13" w:name="_Toc13499_WPSOffice_Level2Page"/>
          <w:r>
            <w:rPr>
              <w:rFonts w:hint="eastAsia" w:asciiTheme="minorEastAsia" w:hAnsiTheme="minorEastAsia" w:eastAsiaTheme="minorEastAsia" w:cstheme="minorEastAsia"/>
              <w:sz w:val="28"/>
              <w:szCs w:val="28"/>
            </w:rPr>
            <w:t>1</w:t>
          </w:r>
          <w:bookmarkEnd w:id="13"/>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_Toc15403_WPSOffice_Level2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23d5cbf4-99ed-448b-bb55-2dc0a41730fd}"/>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（七）广播电台</w:t>
              </w:r>
            </w:sdtContent>
          </w:sdt>
          <w:r>
            <w:rPr>
              <w:rFonts w:hint="eastAsia" w:asciiTheme="minorEastAsia" w:hAnsiTheme="minorEastAsia" w:eastAsiaTheme="minorEastAsia" w:cstheme="minorEastAsia"/>
              <w:sz w:val="28"/>
              <w:szCs w:val="28"/>
            </w:rPr>
            <w:tab/>
          </w:r>
          <w:bookmarkStart w:id="14" w:name="_Toc15403_WPSOffice_Level2Page"/>
          <w:r>
            <w:rPr>
              <w:rFonts w:hint="eastAsia" w:asciiTheme="minorEastAsia" w:hAnsiTheme="minorEastAsia" w:eastAsiaTheme="minorEastAsia" w:cstheme="minorEastAsia"/>
              <w:sz w:val="28"/>
              <w:szCs w:val="28"/>
            </w:rPr>
            <w:t>12</w:t>
          </w:r>
          <w:bookmarkEnd w:id="14"/>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_Toc27250_WPSOffice_Level2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20fcff81-2e9f-4c6f-b74f-a87002ffae66}"/>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（八）气象信息显示屏</w:t>
              </w:r>
            </w:sdtContent>
          </w:sdt>
          <w:r>
            <w:rPr>
              <w:rFonts w:hint="eastAsia" w:asciiTheme="minorEastAsia" w:hAnsiTheme="minorEastAsia" w:eastAsiaTheme="minorEastAsia" w:cstheme="minorEastAsia"/>
              <w:sz w:val="28"/>
              <w:szCs w:val="28"/>
            </w:rPr>
            <w:tab/>
          </w:r>
          <w:bookmarkStart w:id="15" w:name="_Toc27250_WPSOffice_Level2Page"/>
          <w:r>
            <w:rPr>
              <w:rFonts w:hint="eastAsia" w:asciiTheme="minorEastAsia" w:hAnsiTheme="minorEastAsia" w:eastAsiaTheme="minorEastAsia" w:cstheme="minorEastAsia"/>
              <w:sz w:val="28"/>
              <w:szCs w:val="28"/>
            </w:rPr>
            <w:t>1</w:t>
          </w:r>
          <w:bookmarkEnd w:id="15"/>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_Toc16396_WPSOffice_Level2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60d51182-8f92-47a2-b339-65c62ba56f29}"/>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（九）村村通大喇叭</w:t>
              </w:r>
            </w:sdtContent>
          </w:sdt>
          <w:r>
            <w:rPr>
              <w:rFonts w:hint="eastAsia" w:asciiTheme="minorEastAsia" w:hAnsiTheme="minorEastAsia" w:eastAsiaTheme="minorEastAsia" w:cstheme="minorEastAsia"/>
              <w:sz w:val="28"/>
              <w:szCs w:val="28"/>
            </w:rPr>
            <w:tab/>
          </w:r>
          <w:bookmarkStart w:id="16" w:name="_Toc16396_WPSOffice_Level2Page"/>
          <w:r>
            <w:rPr>
              <w:rFonts w:hint="eastAsia" w:asciiTheme="minorEastAsia" w:hAnsiTheme="minorEastAsia" w:eastAsiaTheme="minorEastAsia" w:cstheme="minorEastAsia"/>
              <w:sz w:val="28"/>
              <w:szCs w:val="28"/>
            </w:rPr>
            <w:t>1</w:t>
          </w:r>
          <w:bookmarkEnd w:id="16"/>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_Toc21345_WPSOffice_Level2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6d336c45-5344-42d2-aaf3-e61747199469}"/>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（十）气象频道</w:t>
              </w:r>
            </w:sdtContent>
          </w:sdt>
          <w:r>
            <w:rPr>
              <w:rFonts w:hint="eastAsia" w:asciiTheme="minorEastAsia" w:hAnsiTheme="minorEastAsia" w:eastAsiaTheme="minorEastAsia" w:cstheme="minorEastAsia"/>
              <w:sz w:val="28"/>
              <w:szCs w:val="28"/>
            </w:rPr>
            <w:tab/>
          </w:r>
          <w:bookmarkStart w:id="17" w:name="_Toc21345_WPSOffice_Level2Page"/>
          <w:r>
            <w:rPr>
              <w:rFonts w:hint="eastAsia" w:asciiTheme="minorEastAsia" w:hAnsiTheme="minorEastAsia" w:eastAsiaTheme="minorEastAsia" w:cstheme="minorEastAsia"/>
              <w:sz w:val="28"/>
              <w:szCs w:val="28"/>
            </w:rPr>
            <w:t>1</w:t>
          </w:r>
          <w:bookmarkEnd w:id="17"/>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fldChar w:fldCharType="end"/>
          </w:r>
        </w:p>
        <w:p>
          <w:pPr>
            <w:pStyle w:val="19"/>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_Toc31910_WPSOffice_Level2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135bca5b-e811-40a3-b35a-a68006de1bea}"/>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（十一）气象政务服务</w:t>
              </w:r>
            </w:sdtContent>
          </w:sdt>
          <w:r>
            <w:rPr>
              <w:rFonts w:hint="eastAsia" w:asciiTheme="minorEastAsia" w:hAnsiTheme="minorEastAsia" w:eastAsiaTheme="minorEastAsia" w:cstheme="minorEastAsia"/>
              <w:sz w:val="28"/>
              <w:szCs w:val="28"/>
            </w:rPr>
            <w:tab/>
          </w:r>
          <w:bookmarkStart w:id="18" w:name="_Toc31910_WPSOffice_Level2Page"/>
          <w:r>
            <w:rPr>
              <w:rFonts w:hint="eastAsia" w:asciiTheme="minorEastAsia" w:hAnsiTheme="minorEastAsia" w:eastAsiaTheme="minorEastAsia" w:cstheme="minorEastAsia"/>
              <w:sz w:val="28"/>
              <w:szCs w:val="28"/>
            </w:rPr>
            <w:t>1</w:t>
          </w:r>
          <w:bookmarkEnd w:id="18"/>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fldChar w:fldCharType="end"/>
          </w:r>
        </w:p>
        <w:p>
          <w:pPr>
            <w:pStyle w:val="20"/>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_Toc22159_WPSOffice_Level3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bb45001a-62f8-49c8-b432-8ecc25ab4d56}"/>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1.防雷装置设计审核和竣工验收</w:t>
              </w:r>
            </w:sdtContent>
          </w:sdt>
          <w:r>
            <w:rPr>
              <w:rFonts w:hint="eastAsia" w:asciiTheme="minorEastAsia" w:hAnsiTheme="minorEastAsia" w:eastAsiaTheme="minorEastAsia" w:cstheme="minorEastAsia"/>
              <w:sz w:val="28"/>
              <w:szCs w:val="28"/>
            </w:rPr>
            <w:tab/>
          </w:r>
          <w:bookmarkStart w:id="19" w:name="_Toc22159_WPSOffice_Level3Page"/>
          <w:r>
            <w:rPr>
              <w:rFonts w:hint="eastAsia" w:asciiTheme="minorEastAsia" w:hAnsiTheme="minorEastAsia" w:eastAsiaTheme="minorEastAsia" w:cstheme="minorEastAsia"/>
              <w:sz w:val="28"/>
              <w:szCs w:val="28"/>
            </w:rPr>
            <w:t>1</w:t>
          </w:r>
          <w:bookmarkEnd w:id="19"/>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fldChar w:fldCharType="end"/>
          </w:r>
        </w:p>
        <w:p>
          <w:pPr>
            <w:pStyle w:val="20"/>
            <w:tabs>
              <w:tab w:val="right" w:leader="dot" w:pos="9210"/>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_Toc1384_WPSOffice_Level3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zh-CN" w:eastAsia="zh-CN" w:bidi="zh-CN"/>
              </w:rPr>
              <w:id w:val="147473874"/>
              <w:placeholder>
                <w:docPart w:val="{3bf57d68-965c-4536-a6f6-36a05445582b}"/>
              </w:placeholder>
              <w15:color w:val="509DF3"/>
            </w:sdtPr>
            <w:sdtEndPr>
              <w:rPr>
                <w:rFonts w:hint="eastAsia" w:asciiTheme="minorEastAsia" w:hAnsiTheme="minorEastAsia" w:eastAsiaTheme="minorEastAsia" w:cstheme="minorEastAsia"/>
                <w:sz w:val="28"/>
                <w:szCs w:val="28"/>
                <w:lang w:val="zh-CN" w:eastAsia="zh-CN" w:bidi="zh-CN"/>
              </w:rPr>
            </w:sdtEndPr>
            <w:sdtContent>
              <w:r>
                <w:rPr>
                  <w:rFonts w:hint="eastAsia" w:asciiTheme="minorEastAsia" w:hAnsiTheme="minorEastAsia" w:eastAsiaTheme="minorEastAsia" w:cstheme="minorEastAsia"/>
                  <w:sz w:val="28"/>
                  <w:szCs w:val="28"/>
                </w:rPr>
                <w:t>2.升放无人驾驶自由气球、系留气球活动及单位资质认定</w:t>
              </w:r>
            </w:sdtContent>
          </w:sdt>
          <w:r>
            <w:rPr>
              <w:rFonts w:hint="eastAsia" w:asciiTheme="minorEastAsia" w:hAnsiTheme="minorEastAsia" w:eastAsiaTheme="minorEastAsia" w:cstheme="minorEastAsia"/>
              <w:sz w:val="28"/>
              <w:szCs w:val="28"/>
            </w:rPr>
            <w:tab/>
          </w:r>
          <w:bookmarkStart w:id="20" w:name="_Toc1384_WPSOffice_Level3Page"/>
          <w:r>
            <w:rPr>
              <w:rFonts w:hint="eastAsia" w:asciiTheme="minorEastAsia" w:hAnsiTheme="minorEastAsia" w:eastAsiaTheme="minorEastAsia" w:cstheme="minorEastAsia"/>
              <w:sz w:val="28"/>
              <w:szCs w:val="28"/>
            </w:rPr>
            <w:t>1</w:t>
          </w:r>
          <w:bookmarkEnd w:id="20"/>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fldChar w:fldCharType="end"/>
          </w:r>
          <w:bookmarkEnd w:id="0"/>
        </w:p>
      </w:sdtContent>
    </w:sdt>
    <w:p>
      <w:pPr>
        <w:spacing w:after="0"/>
        <w:rPr>
          <w:rFonts w:hint="eastAsia" w:asciiTheme="minorEastAsia" w:hAnsiTheme="minorEastAsia" w:eastAsiaTheme="minorEastAsia" w:cstheme="minorEastAsia"/>
          <w:sz w:val="28"/>
          <w:szCs w:val="28"/>
        </w:rPr>
      </w:pPr>
    </w:p>
    <w:p>
      <w:pPr>
        <w:spacing w:after="0"/>
        <w:rPr>
          <w:rFonts w:hint="eastAsia" w:asciiTheme="minorEastAsia" w:hAnsiTheme="minorEastAsia" w:eastAsiaTheme="minorEastAsia" w:cstheme="minorEastAsia"/>
          <w:sz w:val="28"/>
          <w:szCs w:val="28"/>
        </w:rPr>
        <w:sectPr>
          <w:pgSz w:w="11910" w:h="16840"/>
          <w:pgMar w:top="1380" w:right="1020" w:bottom="1380" w:left="1680" w:header="0" w:footer="1184" w:gutter="0"/>
          <w:cols w:space="720" w:num="1"/>
        </w:sectPr>
      </w:pPr>
    </w:p>
    <w:p>
      <w:pPr>
        <w:pStyle w:val="5"/>
        <w:spacing w:before="5"/>
        <w:rPr>
          <w:rFonts w:ascii="Calibri"/>
          <w:b/>
          <w:sz w:val="30"/>
        </w:rPr>
      </w:pPr>
    </w:p>
    <w:p>
      <w:pPr>
        <w:pStyle w:val="2"/>
        <w:ind w:left="1013" w:right="1670"/>
        <w:jc w:val="center"/>
        <w:rPr>
          <w:rFonts w:ascii="Microsoft JhengHei"/>
          <w:b/>
          <w:sz w:val="36"/>
        </w:rPr>
      </w:pPr>
      <w:bookmarkStart w:id="21" w:name="_Toc3420_WPSOffice_Level1"/>
      <w:r>
        <w:rPr>
          <w:rFonts w:ascii="宋体" w:hAnsi="宋体" w:eastAsia="宋体" w:cs="宋体"/>
          <w:b w:val="0"/>
          <w:bCs w:val="0"/>
          <w:spacing w:val="-1"/>
          <w:sz w:val="48"/>
          <w:szCs w:val="48"/>
          <w:lang w:val="zh-CN" w:eastAsia="zh-CN" w:bidi="zh-CN"/>
        </w:rPr>
        <w:t>前言</w:t>
      </w:r>
      <w:bookmarkEnd w:id="21"/>
    </w:p>
    <w:p>
      <w:pPr>
        <w:pStyle w:val="5"/>
        <w:spacing w:before="1"/>
        <w:rPr>
          <w:rFonts w:ascii="Microsoft JhengHei"/>
          <w:b/>
          <w:sz w:val="27"/>
        </w:rPr>
      </w:pP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为了共享遂溪气象现代化建设成果，方便公众获取优质气象服务，遂溪县气象局组织编写了《遂溪县气象公共服务白皮书（2023年）》，总结回顾了2022年天气气候特点和气象服务工作，介绍了2023年气象服务工作计划，并对遂溪县气象局现有的公共服务渠道进行了详细介绍。</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遂溪县气象局将根据气象业务的发展每年更新发布公共服务白皮书，欢迎社会各界对遂溪气象公共服务提出宝贵意见和建议。</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联系电话：0759-7902495。</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sectPr>
          <w:pgSz w:w="11910" w:h="16840"/>
          <w:pgMar w:top="1580" w:right="1020" w:bottom="1380" w:left="1680" w:header="0" w:footer="1184" w:gutter="0"/>
          <w:cols w:space="720" w:num="1"/>
        </w:sectPr>
      </w:pPr>
    </w:p>
    <w:p>
      <w:pPr>
        <w:pStyle w:val="3"/>
        <w:keepNext w:val="0"/>
        <w:keepLines w:val="0"/>
        <w:pageBreakBefore w:val="0"/>
        <w:widowControl w:val="0"/>
        <w:kinsoku/>
        <w:wordWrap/>
        <w:overflowPunct/>
        <w:topLinePunct w:val="0"/>
        <w:autoSpaceDE w:val="0"/>
        <w:autoSpaceDN w:val="0"/>
        <w:bidi w:val="0"/>
        <w:adjustRightInd/>
        <w:snapToGrid/>
        <w:spacing w:before="0" w:beforeLines="100" w:after="0" w:afterLines="100"/>
        <w:ind w:left="119"/>
        <w:textAlignment w:val="auto"/>
        <w:rPr>
          <w:b/>
          <w:bCs/>
          <w:color w:val="000000" w:themeColor="text1"/>
          <w:sz w:val="36"/>
          <w:szCs w:val="36"/>
          <w14:textFill>
            <w14:solidFill>
              <w14:schemeClr w14:val="tx1"/>
            </w14:solidFill>
          </w14:textFill>
        </w:rPr>
      </w:pPr>
      <w:bookmarkStart w:id="22" w:name="一、2018 年气象服务总结回顾"/>
      <w:bookmarkEnd w:id="22"/>
      <w:bookmarkStart w:id="23" w:name="_Toc22159_WPSOffice_Level1"/>
      <w:r>
        <w:rPr>
          <w:b/>
          <w:bCs/>
          <w:color w:val="000000" w:themeColor="text1"/>
          <w:sz w:val="36"/>
          <w:szCs w:val="36"/>
          <w14:textFill>
            <w14:solidFill>
              <w14:schemeClr w14:val="tx1"/>
            </w14:solidFill>
          </w14:textFill>
        </w:rPr>
        <w:t>一、</w:t>
      </w:r>
      <w:r>
        <w:rPr>
          <w:rFonts w:hint="eastAsia"/>
          <w:b/>
          <w:bCs/>
          <w:color w:val="000000" w:themeColor="text1"/>
          <w:sz w:val="36"/>
          <w:szCs w:val="36"/>
          <w:lang w:eastAsia="zh-CN"/>
          <w14:textFill>
            <w14:solidFill>
              <w14:schemeClr w14:val="tx1"/>
            </w14:solidFill>
          </w14:textFill>
        </w:rPr>
        <w:t>2022年</w:t>
      </w:r>
      <w:r>
        <w:rPr>
          <w:b/>
          <w:bCs/>
          <w:color w:val="000000" w:themeColor="text1"/>
          <w:sz w:val="36"/>
          <w:szCs w:val="36"/>
          <w14:textFill>
            <w14:solidFill>
              <w14:schemeClr w14:val="tx1"/>
            </w14:solidFill>
          </w14:textFill>
        </w:rPr>
        <w:t>气象服务总结回顾</w:t>
      </w:r>
      <w:bookmarkEnd w:id="23"/>
    </w:p>
    <w:p>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color w:val="000000" w:themeColor="text1"/>
          <w:sz w:val="32"/>
          <w:szCs w:val="32"/>
          <w:lang w:val="zh-CN" w:eastAsia="zh-CN"/>
          <w14:textFill>
            <w14:solidFill>
              <w14:schemeClr w14:val="tx1"/>
            </w14:solidFill>
          </w14:textFill>
        </w:rPr>
      </w:pPr>
      <w:bookmarkStart w:id="24" w:name="（一）2018年天气气候概况"/>
      <w:bookmarkEnd w:id="24"/>
      <w:bookmarkStart w:id="25" w:name="_Toc22159_WPSOffice_Level2"/>
      <w:r>
        <w:rPr>
          <w:rFonts w:ascii="宋体" w:hAnsi="宋体" w:eastAsia="宋体" w:cs="宋体"/>
          <w:b/>
          <w:bCs/>
          <w:color w:val="000000" w:themeColor="text1"/>
          <w:sz w:val="32"/>
          <w:szCs w:val="32"/>
          <w:lang w:val="zh-CN" w:eastAsia="zh-CN" w:bidi="zh-CN"/>
          <w14:textFill>
            <w14:solidFill>
              <w14:schemeClr w14:val="tx1"/>
            </w14:solidFill>
          </w14:textFill>
        </w:rPr>
        <w:t>（一）</w:t>
      </w:r>
      <w:r>
        <w:rPr>
          <w:rFonts w:hint="eastAsia" w:ascii="宋体" w:hAnsi="宋体" w:eastAsia="宋体" w:cs="宋体"/>
          <w:b/>
          <w:bCs/>
          <w:color w:val="000000" w:themeColor="text1"/>
          <w:sz w:val="32"/>
          <w:szCs w:val="32"/>
          <w:lang w:val="zh-CN" w:eastAsia="zh-CN" w:bidi="zh-CN"/>
          <w14:textFill>
            <w14:solidFill>
              <w14:schemeClr w14:val="tx1"/>
            </w14:solidFill>
          </w14:textFill>
        </w:rPr>
        <w:t>2022年</w:t>
      </w:r>
      <w:r>
        <w:rPr>
          <w:rFonts w:ascii="宋体" w:hAnsi="宋体" w:eastAsia="宋体" w:cs="宋体"/>
          <w:b/>
          <w:bCs/>
          <w:color w:val="000000" w:themeColor="text1"/>
          <w:sz w:val="32"/>
          <w:szCs w:val="32"/>
          <w:lang w:val="zh-CN" w:eastAsia="zh-CN" w:bidi="zh-CN"/>
          <w14:textFill>
            <w14:solidFill>
              <w14:schemeClr w14:val="tx1"/>
            </w14:solidFill>
          </w14:textFill>
        </w:rPr>
        <w:t>天气气候概况</w:t>
      </w:r>
      <w:bookmarkEnd w:id="25"/>
    </w:p>
    <w:p>
      <w:pPr>
        <w:pStyle w:val="5"/>
        <w:spacing w:line="316" w:lineRule="auto"/>
        <w:ind w:left="120" w:right="619" w:firstLine="640"/>
        <w:jc w:val="both"/>
        <w:rPr>
          <w:rFonts w:hint="eastAsia" w:ascii="仿宋_GB2312" w:hAnsi="Times New Roman" w:eastAsia="宋体" w:cs="Times New Roman"/>
          <w:sz w:val="32"/>
          <w:szCs w:val="32"/>
          <w:lang w:val="zh-CN" w:eastAsia="zh-CN" w:bidi="zh-CN"/>
        </w:rPr>
      </w:pPr>
      <w:bookmarkStart w:id="26" w:name="（二）2018年气象服务情况总结"/>
      <w:bookmarkEnd w:id="26"/>
      <w:bookmarkStart w:id="27" w:name="_Toc1384_WPSOffice_Level2"/>
      <w:r>
        <w:rPr>
          <w:rFonts w:hint="eastAsia" w:ascii="仿宋_GB2312" w:hAnsi="Times New Roman" w:eastAsia="宋体" w:cs="Times New Roman"/>
          <w:sz w:val="32"/>
          <w:szCs w:val="32"/>
          <w:lang w:val="zh-CN" w:eastAsia="zh-CN" w:bidi="zh-CN"/>
        </w:rPr>
        <w:t>我县2022年年平均气温为23.3℃，比历年平均偏高0.1℃。最高温度为36.3℃，出现在8月3日，日最高气温≥35℃的高温天气共有16天，6月3天、7月9天、8月3天、9月1天；年最低温度为4.9℃，出现在12月19日，日平均气温小于或等于12.0℃的低温天气共有13天，其中1月2天、2月9天、12月2天。月平均气温与历年同期比较，1、3、6、7、9、11月偏高，2、4、5、10、12月偏低，8月持平。其中，1月偏高1.8℃、2月偏低2.8℃、3月偏高2.3℃；4月偏低0.6℃、5月偏低1.4℃、6月偏高0.3℃、7月偏高0.8℃、8月持平、9月偏高0.3℃、10月偏低0.2℃、11月偏高2.5℃、12月偏低1.8℃。我县总降水量为2124.2毫米（历年1723.2毫米），比历年偏多23.3％。月降水量与历年同期比较，1月偏少9.0%、2月偏多169.1%、3月偏多22.7%、4月偏少24.0%、5月偏多34.6%、6月偏少24.8%、7月偏多42.6%、8月偏多31.2%、9月偏多71.2%、10月偏少55.0%、11月偏多168.1%、12月偏少91.4%。全年有9天暴雨，3天大暴雨，7月3日最大雨量为191.6毫米。</w:t>
      </w:r>
    </w:p>
    <w:p>
      <w:pPr>
        <w:spacing w:line="360" w:lineRule="auto"/>
        <w:ind w:firstLine="440" w:firstLineChars="200"/>
        <w:jc w:val="center"/>
        <w:rPr>
          <w:rFonts w:hint="eastAsia"/>
          <w:sz w:val="24"/>
        </w:rPr>
      </w:pPr>
      <w:r>
        <w:drawing>
          <wp:inline distT="0" distB="0" distL="114300" distR="114300">
            <wp:extent cx="4122420" cy="1629410"/>
            <wp:effectExtent l="4445" t="5080" r="6985" b="2286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360" w:lineRule="auto"/>
        <w:ind w:firstLine="402" w:firstLineChars="200"/>
        <w:rPr>
          <w:rFonts w:hint="eastAsia"/>
          <w:sz w:val="24"/>
        </w:rPr>
      </w:pPr>
      <w:r>
        <w:rPr>
          <w:b/>
          <w:bCs/>
          <w:sz w:val="20"/>
        </w:rPr>
        <mc:AlternateContent>
          <mc:Choice Requires="wps">
            <w:drawing>
              <wp:anchor distT="0" distB="0" distL="114300" distR="114300" simplePos="0" relativeHeight="251660288" behindDoc="0" locked="0" layoutInCell="1" allowOverlap="1">
                <wp:simplePos x="0" y="0"/>
                <wp:positionH relativeFrom="column">
                  <wp:posOffset>1407160</wp:posOffset>
                </wp:positionH>
                <wp:positionV relativeFrom="paragraph">
                  <wp:posOffset>29845</wp:posOffset>
                </wp:positionV>
                <wp:extent cx="2600325" cy="297180"/>
                <wp:effectExtent l="4445" t="4445" r="5080" b="22225"/>
                <wp:wrapNone/>
                <wp:docPr id="6" name="文本框 6"/>
                <wp:cNvGraphicFramePr/>
                <a:graphic xmlns:a="http://schemas.openxmlformats.org/drawingml/2006/main">
                  <a:graphicData uri="http://schemas.microsoft.com/office/word/2010/wordprocessingShape">
                    <wps:wsp>
                      <wps:cNvSpPr txBox="1"/>
                      <wps:spPr>
                        <a:xfrm>
                          <a:off x="0" y="0"/>
                          <a:ext cx="2600325" cy="297180"/>
                        </a:xfrm>
                        <a:prstGeom prst="rect">
                          <a:avLst/>
                        </a:prstGeom>
                        <a:solidFill>
                          <a:srgbClr val="FFFFFF">
                            <a:alpha val="50000"/>
                          </a:srgbClr>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2022年逐月平均气温与常年同期比较</w:t>
                            </w:r>
                          </w:p>
                        </w:txbxContent>
                      </wps:txbx>
                      <wps:bodyPr upright="1"/>
                    </wps:wsp>
                  </a:graphicData>
                </a:graphic>
              </wp:anchor>
            </w:drawing>
          </mc:Choice>
          <mc:Fallback>
            <w:pict>
              <v:shape id="_x0000_s1026" o:spid="_x0000_s1026" o:spt="202" type="#_x0000_t202" style="position:absolute;left:0pt;margin-left:110.8pt;margin-top:2.35pt;height:23.4pt;width:204.75pt;z-index:251660288;mso-width-relative:page;mso-height-relative:page;" fillcolor="#FFFFFF" filled="t" stroked="t" coordsize="21600,21600" o:gfxdata="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RWDvXAAAACAEAAA8A&#10;AAAAAAAAAQAgAAAAIgAAAGRycy9kb3ducmV2LnhtbFBLAQIUABQAAAAIAIdO4kAZ+xzLGAIAAFcE&#10;AAAOAAAAAAAAAAEAIAAAACYBAABkcnMvZTJvRG9jLnhtbFBLBQYAAAAABgAGAFkBAACwBQAAAAA=&#10;">
                <v:fill on="t" opacity="32768f" focussize="0,0"/>
                <v:stroke color="#FFFFFF" joinstyle="miter"/>
                <v:imagedata o:title=""/>
                <o:lock v:ext="edit" aspectratio="f"/>
                <v:textbox>
                  <w:txbxContent>
                    <w:p>
                      <w:pPr>
                        <w:rPr>
                          <w:rFonts w:hint="eastAsia"/>
                        </w:rPr>
                      </w:pPr>
                      <w:r>
                        <w:rPr>
                          <w:rFonts w:hint="eastAsia"/>
                        </w:rPr>
                        <w:t>2022年逐月平均气温与常年同期比较</w:t>
                      </w:r>
                    </w:p>
                  </w:txbxContent>
                </v:textbox>
              </v:shape>
            </w:pict>
          </mc:Fallback>
        </mc:AlternateContent>
      </w:r>
    </w:p>
    <w:p>
      <w:pPr>
        <w:pStyle w:val="5"/>
        <w:spacing w:line="316" w:lineRule="auto"/>
        <w:ind w:left="120" w:right="619" w:firstLine="640"/>
        <w:jc w:val="both"/>
        <w:rPr>
          <w:rFonts w:hint="eastAsia" w:ascii="仿宋_GB2312" w:hAnsi="Times New Roman" w:eastAsia="宋体" w:cs="Times New Roman"/>
          <w:sz w:val="32"/>
          <w:szCs w:val="32"/>
          <w:lang w:val="zh-CN" w:eastAsia="zh-CN" w:bidi="zh-CN"/>
        </w:rPr>
      </w:pPr>
      <w:r>
        <w:rPr>
          <w:rFonts w:hint="eastAsia" w:ascii="仿宋_GB2312" w:hAnsi="Times New Roman" w:eastAsia="宋体" w:cs="Times New Roman"/>
          <w:sz w:val="32"/>
          <w:szCs w:val="32"/>
          <w:lang w:val="zh-CN" w:eastAsia="zh-CN" w:bidi="zh-CN"/>
        </w:rPr>
        <w:t>2022年各乡镇年雨量（单位：毫米）如下：遂城2268.0、城月2215.3、草潭1754.5、洋青2159.4、界炮1625.3、北坡1444.6、岭北2074.4、江洪1804.7、港门2021.2、黄略2112.9、建新2569.4、乐民1849.5、乌塘2187.4、杨柑1778.7、河头2057.9、马六良1602.4。2022年日照总时数为1673.7小时（历年1883.4小时），比历年偏少209.7小时，偏少11.1%。</w:t>
      </w:r>
    </w:p>
    <w:p>
      <w:pPr>
        <w:spacing w:line="360" w:lineRule="auto"/>
        <w:ind w:firstLine="440" w:firstLineChars="200"/>
        <w:jc w:val="center"/>
        <w:rPr>
          <w:rFonts w:hint="eastAsia"/>
          <w:sz w:val="24"/>
        </w:rPr>
      </w:pPr>
      <w:r>
        <w:drawing>
          <wp:inline distT="0" distB="0" distL="114300" distR="114300">
            <wp:extent cx="4024630" cy="2029460"/>
            <wp:effectExtent l="5080" t="4445" r="8890" b="23495"/>
            <wp:docPr id="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ind w:firstLine="480" w:firstLineChars="200"/>
        <w:rPr>
          <w:rFonts w:hint="eastAsia"/>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1544320</wp:posOffset>
                </wp:positionH>
                <wp:positionV relativeFrom="paragraph">
                  <wp:posOffset>92710</wp:posOffset>
                </wp:positionV>
                <wp:extent cx="2635885" cy="274955"/>
                <wp:effectExtent l="0" t="0" r="12065" b="10795"/>
                <wp:wrapNone/>
                <wp:docPr id="16" name="文本框 16"/>
                <wp:cNvGraphicFramePr/>
                <a:graphic xmlns:a="http://schemas.openxmlformats.org/drawingml/2006/main">
                  <a:graphicData uri="http://schemas.microsoft.com/office/word/2010/wordprocessingShape">
                    <wps:wsp>
                      <wps:cNvSpPr txBox="1"/>
                      <wps:spPr>
                        <a:xfrm>
                          <a:off x="3000375" y="3483610"/>
                          <a:ext cx="263588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2022年逐月平均降水量与常年同期比较</w:t>
                            </w:r>
                          </w:p>
                          <w:p>
                            <w:pP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6pt;margin-top:7.3pt;height:21.65pt;width:207.55pt;z-index:251661312;mso-width-relative:page;mso-height-relative:page;" fillcolor="#FFFFFF [3201]" filled="t" stroked="f" coordsize="21600,21600" o:gfxdata="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qMob1QAA&#10;AAkBAAAPAAAAAAAAAAEAIAAAACIAAABkcnMvZG93bnJldi54bWxQSwECFAAUAAAACACHTuJAcRs5&#10;k1oCAACdBAAADgAAAAAAAAABACAAAAAkAQAAZHJzL2Uyb0RvYy54bWxQSwUGAAAAAAYABgBZAQAA&#10;8AUAAAAA&#10;">
                <v:fill on="t" focussize="0,0"/>
                <v:stroke on="f" weight="0.5pt"/>
                <v:imagedata o:title=""/>
                <o:lock v:ext="edit" aspectratio="f"/>
                <v:textbox>
                  <w:txbxContent>
                    <w:p>
                      <w:pPr>
                        <w:rPr>
                          <w:rFonts w:hint="eastAsia"/>
                        </w:rPr>
                      </w:pPr>
                      <w:r>
                        <w:rPr>
                          <w:rFonts w:hint="eastAsia"/>
                        </w:rPr>
                        <w:t>2022年逐月平均降水量与常年同期比较</w:t>
                      </w:r>
                    </w:p>
                    <w:p>
                      <w:pPr>
                        <w:rPr>
                          <w:rFonts w:hint="eastAsia" w:eastAsia="宋体"/>
                          <w:lang w:val="en-US" w:eastAsia="zh-CN"/>
                        </w:rPr>
                      </w:pPr>
                    </w:p>
                  </w:txbxContent>
                </v:textbox>
              </v:shape>
            </w:pict>
          </mc:Fallback>
        </mc:AlternateContent>
      </w:r>
    </w:p>
    <w:p>
      <w:pPr>
        <w:spacing w:line="360" w:lineRule="auto"/>
        <w:ind w:firstLine="480" w:firstLineChars="200"/>
        <w:rPr>
          <w:rFonts w:hint="eastAsia"/>
          <w:sz w:val="24"/>
        </w:rPr>
      </w:pPr>
    </w:p>
    <w:p>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ascii="宋体" w:hAnsi="宋体" w:eastAsia="宋体" w:cs="宋体"/>
          <w:b/>
          <w:bCs/>
          <w:color w:val="000000" w:themeColor="text1"/>
          <w:sz w:val="32"/>
          <w:szCs w:val="32"/>
          <w:lang w:val="zh-CN" w:eastAsia="zh-CN" w:bidi="zh-CN"/>
          <w14:textFill>
            <w14:solidFill>
              <w14:schemeClr w14:val="tx1"/>
            </w14:solidFill>
          </w14:textFill>
        </w:rPr>
      </w:pPr>
      <w:r>
        <w:rPr>
          <w:rFonts w:ascii="宋体" w:hAnsi="宋体" w:eastAsia="宋体" w:cs="宋体"/>
          <w:b/>
          <w:bCs/>
          <w:color w:val="000000" w:themeColor="text1"/>
          <w:sz w:val="32"/>
          <w:szCs w:val="32"/>
          <w:lang w:val="zh-CN" w:eastAsia="zh-CN" w:bidi="zh-CN"/>
          <w14:textFill>
            <w14:solidFill>
              <w14:schemeClr w14:val="tx1"/>
            </w14:solidFill>
          </w14:textFill>
        </w:rPr>
        <w:t>（二）</w:t>
      </w:r>
      <w:r>
        <w:rPr>
          <w:rFonts w:hint="eastAsia" w:ascii="宋体" w:hAnsi="宋体" w:eastAsia="宋体" w:cs="宋体"/>
          <w:b/>
          <w:bCs/>
          <w:color w:val="000000" w:themeColor="text1"/>
          <w:sz w:val="32"/>
          <w:szCs w:val="32"/>
          <w:lang w:val="zh-CN" w:eastAsia="zh-CN" w:bidi="zh-CN"/>
          <w14:textFill>
            <w14:solidFill>
              <w14:schemeClr w14:val="tx1"/>
            </w14:solidFill>
          </w14:textFill>
        </w:rPr>
        <w:t>2022年</w:t>
      </w:r>
      <w:r>
        <w:rPr>
          <w:rFonts w:ascii="宋体" w:hAnsi="宋体" w:eastAsia="宋体" w:cs="宋体"/>
          <w:b/>
          <w:bCs/>
          <w:color w:val="000000" w:themeColor="text1"/>
          <w:sz w:val="32"/>
          <w:szCs w:val="32"/>
          <w:lang w:val="zh-CN" w:eastAsia="zh-CN" w:bidi="zh-CN"/>
          <w14:textFill>
            <w14:solidFill>
              <w14:schemeClr w14:val="tx1"/>
            </w14:solidFill>
          </w14:textFill>
        </w:rPr>
        <w:t>气象服务情况总结</w:t>
      </w:r>
      <w:bookmarkEnd w:id="27"/>
    </w:p>
    <w:p>
      <w:pPr>
        <w:pStyle w:val="5"/>
        <w:spacing w:line="316" w:lineRule="auto"/>
        <w:ind w:left="120" w:right="619" w:firstLine="640"/>
        <w:jc w:val="both"/>
        <w:rPr>
          <w:rFonts w:hint="eastAsia" w:ascii="仿宋_GB2312" w:hAnsi="Times New Roman" w:eastAsia="宋体" w:cs="Times New Roman"/>
          <w:sz w:val="32"/>
          <w:szCs w:val="32"/>
          <w:lang w:val="zh-CN" w:eastAsia="zh-CN" w:bidi="zh-CN"/>
        </w:rPr>
      </w:pPr>
      <w:bookmarkStart w:id="28" w:name="二、2019年气象服务工作计划"/>
      <w:bookmarkEnd w:id="28"/>
      <w:r>
        <w:rPr>
          <w:rFonts w:hint="eastAsia" w:ascii="仿宋_GB2312" w:hAnsi="Times New Roman" w:eastAsia="宋体" w:cs="Times New Roman"/>
          <w:sz w:val="32"/>
          <w:szCs w:val="32"/>
          <w:lang w:val="zh-CN" w:eastAsia="zh-CN" w:bidi="zh-CN"/>
        </w:rPr>
        <w:t>2022年以来，面对复杂严峻的天气气候形势和新冠疫情的叠加影响，我局认真贯彻落实习近平总书记关于防灾减灾救灾和对气象工作的重要指示批示精神以及《气象高质量规划纲要（2022-2035）》，</w:t>
      </w:r>
      <w:r>
        <w:rPr>
          <w:rFonts w:hint="eastAsia" w:ascii="仿宋_GB2312" w:hAnsi="Times New Roman" w:eastAsia="宋体" w:cs="Times New Roman"/>
          <w:sz w:val="32"/>
          <w:szCs w:val="32"/>
          <w:lang w:val="en-US" w:eastAsia="zh-CN" w:bidi="zh-CN"/>
        </w:rPr>
        <w:t>2022年</w:t>
      </w:r>
      <w:r>
        <w:rPr>
          <w:rFonts w:hint="eastAsia" w:ascii="仿宋_GB2312" w:hAnsi="Times New Roman" w:eastAsia="宋体" w:cs="Times New Roman"/>
          <w:sz w:val="32"/>
          <w:szCs w:val="32"/>
          <w:lang w:val="zh-CN" w:eastAsia="zh-CN" w:bidi="zh-CN"/>
        </w:rPr>
        <w:t>全国气象工作研讨会等会议精神，全面落实县委、县政府和湛江市气象局的决策部署，在做好常态化疫情防控的同时，全力抓紧抓实抓细气象服务工作，努力实现“监测精密、预报精准、服务精细”，筑牢气象防灾减灾第一道防线，为遂溪经济高质量发展提供优质气象服务保障。</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据统计，年内遂溪县气象局观测及预报预警、气候预测等业务全面达标；为遂溪县重大活动提供服务及专项气象服务10次，</w:t>
      </w:r>
      <w:r>
        <w:rPr>
          <w:rFonts w:hint="eastAsia" w:ascii="仿宋_GB2312" w:hAnsi="Times New Roman" w:eastAsia="宋体" w:cs="Times New Roman"/>
          <w:sz w:val="32"/>
          <w:szCs w:val="32"/>
          <w:lang w:val="zh-CN" w:eastAsia="zh-CN" w:bidi="zh-CN"/>
        </w:rPr>
        <w:t>发布《重大气象信息快报》</w:t>
      </w:r>
      <w:r>
        <w:rPr>
          <w:rFonts w:hint="eastAsia" w:ascii="仿宋_GB2312" w:hAnsi="Times New Roman" w:eastAsia="宋体" w:cs="Times New Roman"/>
          <w:sz w:val="32"/>
          <w:szCs w:val="32"/>
          <w:lang w:val="en-US" w:eastAsia="zh-CN" w:bidi="zh-CN"/>
        </w:rPr>
        <w:t>62期，《重大气象信息专报》10期，与县自然资源局共同发布地质灾害气象风险预警5次，与县教育局发布停课6次，与农业农村局密切监测渔船管理和短信发布以及农业气象服务。</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我局发布突发预警信号共209次，其中台风20次、暴雨97次，雷雨大风60次、高温6次、大雾14次、寒冷3次、森林火险9次，</w:t>
      </w:r>
      <w:r>
        <w:rPr>
          <w:rFonts w:hint="eastAsia" w:ascii="仿宋_GB2312" w:hAnsi="Times New Roman" w:eastAsia="宋体" w:cs="Times New Roman"/>
          <w:sz w:val="32"/>
          <w:szCs w:val="32"/>
          <w:lang w:val="zh-CN" w:eastAsia="zh-CN" w:bidi="zh-CN"/>
        </w:rPr>
        <w:t>预警信号发布情况在当地电视频道实时挂角播出</w:t>
      </w:r>
      <w:r>
        <w:rPr>
          <w:rFonts w:hint="eastAsia" w:ascii="仿宋_GB2312" w:hAnsi="Times New Roman" w:eastAsia="宋体" w:cs="Times New Roman"/>
          <w:sz w:val="32"/>
          <w:szCs w:val="32"/>
          <w:lang w:val="en-US" w:eastAsia="zh-CN" w:bidi="zh-CN"/>
        </w:rPr>
        <w:t>。</w:t>
      </w:r>
      <w:r>
        <w:rPr>
          <w:rFonts w:hint="eastAsia" w:ascii="仿宋_GB2312" w:hAnsi="Times New Roman" w:eastAsia="宋体" w:cs="Times New Roman"/>
          <w:sz w:val="32"/>
          <w:szCs w:val="32"/>
          <w:lang w:val="zh-CN" w:eastAsia="zh-CN" w:bidi="zh-CN"/>
        </w:rPr>
        <w:t>利用省突发事件预警信息发布通过气象部门自建渠道（应急气象网站、微博、微信、客户端、大喇叭、显示屏、</w:t>
      </w:r>
      <w:r>
        <w:rPr>
          <w:rFonts w:hint="eastAsia" w:ascii="仿宋_GB2312" w:hAnsi="Times New Roman" w:eastAsia="宋体" w:cs="Times New Roman"/>
          <w:sz w:val="32"/>
          <w:szCs w:val="32"/>
          <w:lang w:val="en-US" w:eastAsia="zh-CN" w:bidi="zh-CN"/>
        </w:rPr>
        <w:t>12121</w:t>
      </w:r>
      <w:r>
        <w:rPr>
          <w:rFonts w:hint="eastAsia" w:ascii="仿宋_GB2312" w:hAnsi="Times New Roman" w:eastAsia="宋体" w:cs="Times New Roman"/>
          <w:sz w:val="32"/>
          <w:szCs w:val="32"/>
          <w:lang w:val="zh-CN" w:eastAsia="zh-CN" w:bidi="zh-CN"/>
        </w:rPr>
        <w:t>电话等）和社会渠道（广播电视、新媒体等）发送气象信息。运用人工智能、大数据、互联网等技术，决策服务</w:t>
      </w:r>
      <w:r>
        <w:rPr>
          <w:rFonts w:hint="eastAsia" w:ascii="仿宋_GB2312" w:hAnsi="Times New Roman" w:eastAsia="宋体" w:cs="Times New Roman"/>
          <w:sz w:val="32"/>
          <w:szCs w:val="32"/>
          <w:lang w:val="en-US" w:eastAsia="zh-CN" w:bidi="zh-CN"/>
        </w:rPr>
        <w:t>AI</w:t>
      </w:r>
      <w:r>
        <w:rPr>
          <w:rFonts w:hint="eastAsia" w:ascii="仿宋_GB2312" w:hAnsi="Times New Roman" w:eastAsia="宋体" w:cs="Times New Roman"/>
          <w:sz w:val="32"/>
          <w:szCs w:val="32"/>
          <w:lang w:val="zh-CN" w:eastAsia="zh-CN" w:bidi="zh-CN"/>
        </w:rPr>
        <w:t>助手“粤小天”，实现自动、智能、快速、频密实时提供针对性的信息服务，满足各涉灾部门多样式的气象信息服务需求，共向全全县</w:t>
      </w:r>
      <w:r>
        <w:rPr>
          <w:rFonts w:hint="eastAsia" w:ascii="仿宋_GB2312" w:hAnsi="Times New Roman" w:eastAsia="宋体" w:cs="Times New Roman"/>
          <w:sz w:val="32"/>
          <w:szCs w:val="32"/>
          <w:lang w:val="en-US" w:eastAsia="zh-CN" w:bidi="zh-CN"/>
        </w:rPr>
        <w:t>20</w:t>
      </w:r>
      <w:r>
        <w:rPr>
          <w:rFonts w:hint="eastAsia" w:ascii="仿宋_GB2312" w:hAnsi="Times New Roman" w:eastAsia="宋体" w:cs="Times New Roman"/>
          <w:sz w:val="32"/>
          <w:szCs w:val="32"/>
          <w:lang w:val="zh-CN" w:eastAsia="zh-CN" w:bidi="zh-CN"/>
        </w:rPr>
        <w:t>个服务群提供实时信息服务，累计发布信息约</w:t>
      </w:r>
      <w:r>
        <w:rPr>
          <w:rFonts w:hint="eastAsia" w:ascii="仿宋_GB2312" w:hAnsi="Times New Roman" w:eastAsia="宋体" w:cs="Times New Roman"/>
          <w:sz w:val="32"/>
          <w:szCs w:val="32"/>
          <w:lang w:val="en-US" w:eastAsia="zh-CN" w:bidi="zh-CN"/>
        </w:rPr>
        <w:t>200万</w:t>
      </w:r>
      <w:r>
        <w:rPr>
          <w:rFonts w:hint="eastAsia" w:ascii="仿宋_GB2312" w:hAnsi="Times New Roman" w:eastAsia="宋体" w:cs="Times New Roman"/>
          <w:sz w:val="32"/>
          <w:szCs w:val="32"/>
          <w:lang w:val="zh-CN" w:eastAsia="zh-CN" w:bidi="zh-CN"/>
        </w:rPr>
        <w:t>条次。</w:t>
      </w:r>
      <w:r>
        <w:rPr>
          <w:rFonts w:hint="eastAsia" w:ascii="仿宋_GB2312" w:hAnsi="Times New Roman" w:eastAsia="宋体" w:cs="Times New Roman"/>
          <w:sz w:val="32"/>
          <w:szCs w:val="32"/>
          <w:lang w:val="en-US" w:eastAsia="zh-CN" w:bidi="zh-CN"/>
        </w:rPr>
        <w:t>获得县委县政府领导的肯定和表扬，为我县防灾减灾工作作出了重要贡献。</w:t>
      </w:r>
    </w:p>
    <w:p>
      <w:pPr>
        <w:pStyle w:val="3"/>
        <w:keepNext w:val="0"/>
        <w:keepLines w:val="0"/>
        <w:pageBreakBefore w:val="0"/>
        <w:widowControl w:val="0"/>
        <w:kinsoku/>
        <w:wordWrap/>
        <w:overflowPunct/>
        <w:topLinePunct w:val="0"/>
        <w:autoSpaceDE w:val="0"/>
        <w:autoSpaceDN w:val="0"/>
        <w:bidi w:val="0"/>
        <w:adjustRightInd/>
        <w:snapToGrid/>
        <w:spacing w:before="0" w:beforeLines="100" w:after="0" w:afterLines="100"/>
        <w:ind w:left="119"/>
        <w:textAlignment w:val="auto"/>
        <w:rPr>
          <w:b/>
          <w:bCs/>
          <w:color w:val="000000" w:themeColor="text1"/>
          <w:sz w:val="36"/>
          <w:szCs w:val="36"/>
          <w:lang w:val="zh-CN" w:eastAsia="zh-CN"/>
          <w14:textFill>
            <w14:solidFill>
              <w14:schemeClr w14:val="tx1"/>
            </w14:solidFill>
          </w14:textFill>
        </w:rPr>
      </w:pPr>
      <w:bookmarkStart w:id="29" w:name="_Toc1384_WPSOffice_Level1"/>
      <w:r>
        <w:rPr>
          <w:b/>
          <w:bCs/>
          <w:color w:val="000000" w:themeColor="text1"/>
          <w:sz w:val="36"/>
          <w:szCs w:val="36"/>
          <w:lang w:val="zh-CN" w:eastAsia="zh-CN"/>
          <w14:textFill>
            <w14:solidFill>
              <w14:schemeClr w14:val="tx1"/>
            </w14:solidFill>
          </w14:textFill>
        </w:rPr>
        <w:t>二、</w:t>
      </w:r>
      <w:r>
        <w:rPr>
          <w:rFonts w:hint="eastAsia"/>
          <w:b/>
          <w:bCs/>
          <w:color w:val="000000" w:themeColor="text1"/>
          <w:sz w:val="36"/>
          <w:szCs w:val="36"/>
          <w:lang w:val="zh-CN" w:eastAsia="zh-CN"/>
          <w14:textFill>
            <w14:solidFill>
              <w14:schemeClr w14:val="tx1"/>
            </w14:solidFill>
          </w14:textFill>
        </w:rPr>
        <w:t>2023</w:t>
      </w:r>
      <w:r>
        <w:rPr>
          <w:b/>
          <w:bCs/>
          <w:color w:val="000000" w:themeColor="text1"/>
          <w:sz w:val="36"/>
          <w:szCs w:val="36"/>
          <w:lang w:val="zh-CN" w:eastAsia="zh-CN"/>
          <w14:textFill>
            <w14:solidFill>
              <w14:schemeClr w14:val="tx1"/>
            </w14:solidFill>
          </w14:textFill>
        </w:rPr>
        <w:t>年气象服务工作计划</w:t>
      </w:r>
      <w:bookmarkEnd w:id="29"/>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bookmarkStart w:id="30" w:name="_Toc19917_WPSOffice_Level1"/>
      <w:r>
        <w:rPr>
          <w:rFonts w:hint="eastAsia" w:ascii="仿宋_GB2312" w:hAnsi="Times New Roman" w:eastAsia="宋体" w:cs="Times New Roman"/>
          <w:sz w:val="32"/>
          <w:szCs w:val="32"/>
          <w:lang w:val="en-US" w:eastAsia="zh-CN" w:bidi="zh-CN"/>
        </w:rPr>
        <w:t>以习近平新时代中国特色社会主义思想为指导，围绕县委“1+3+6”行动计划，以需求为导向，全面融入县委县政府的各项工作，重点做好以下几点工作。</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（一）是进一步强化气象灾害监测预警。</w:t>
      </w:r>
      <w:r>
        <w:rPr>
          <w:rFonts w:hint="eastAsia" w:ascii="仿宋_GB2312" w:hAnsi="Times New Roman" w:eastAsia="宋体" w:cs="Times New Roman"/>
          <w:sz w:val="32"/>
          <w:szCs w:val="32"/>
          <w:lang w:val="en-US" w:eastAsia="zh-CN" w:bidi="zh-CN"/>
        </w:rPr>
        <w:t>围绕“早、准、快”，强化灾害性天气监测预报预警能力。在监测预报能力有效的范围内，对灾害性天气尽量早发现、早预报、早预警；滚动做好全年气候预测服务，努力延长预报预测预见期，做好面向当地党委、政府及相关部门的预报预警信息报送，确保重大灾害性天气不漏报。</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(二)进一步夯实台风、暴雨和强对流天气预报服务基础。</w:t>
      </w:r>
      <w:r>
        <w:rPr>
          <w:rFonts w:hint="eastAsia" w:ascii="仿宋_GB2312" w:hAnsi="Times New Roman" w:eastAsia="宋体" w:cs="Times New Roman"/>
          <w:sz w:val="32"/>
          <w:szCs w:val="32"/>
          <w:lang w:val="en-US" w:eastAsia="zh-CN" w:bidi="zh-CN"/>
        </w:rPr>
        <w:t>及时总结气象服务工作，针对气象服务服务中发现的问题，坚持问题导向，狠抓薄弱环节，认真组织开展气象防灾减灾服务风险隐患排查。认真做好台风、暴雨和强对流天气等业务服务系统、业务技术规范、标准、安全和管理制度各项准备工作，不打无准备之仗，切实发挥好气象部门在防灾减灾工作中的第一道防线作用。</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(三)进一步加强协同联动能力建设。</w:t>
      </w:r>
      <w:r>
        <w:rPr>
          <w:rFonts w:hint="eastAsia" w:ascii="仿宋_GB2312" w:hAnsi="Times New Roman" w:eastAsia="宋体" w:cs="Times New Roman"/>
          <w:sz w:val="32"/>
          <w:szCs w:val="32"/>
          <w:lang w:val="en-US" w:eastAsia="zh-CN" w:bidi="zh-CN"/>
        </w:rPr>
        <w:t>加强与应急管理、自然资源、农业农村、水利、教育等部门及基层沟通联系，深入调研，建立县镇村一体的精细预警决策服务平台，建立完善精细预报预警产品制作、更新、服务的机制。推动省市县建立重大气象灾害服务全链条标准化流程，做好重大天气过程多渠道、滚动式、高频次的过程跟踪服务。</w:t>
      </w:r>
    </w:p>
    <w:p>
      <w:pPr>
        <w:pStyle w:val="3"/>
        <w:keepNext w:val="0"/>
        <w:keepLines w:val="0"/>
        <w:pageBreakBefore w:val="0"/>
        <w:widowControl w:val="0"/>
        <w:kinsoku/>
        <w:wordWrap/>
        <w:overflowPunct/>
        <w:topLinePunct w:val="0"/>
        <w:autoSpaceDE w:val="0"/>
        <w:autoSpaceDN w:val="0"/>
        <w:bidi w:val="0"/>
        <w:adjustRightInd/>
        <w:snapToGrid/>
        <w:spacing w:before="0" w:beforeLines="100" w:after="0" w:afterLines="100"/>
        <w:ind w:left="119"/>
        <w:textAlignment w:val="auto"/>
        <w:rPr>
          <w:b/>
          <w:bCs/>
          <w:sz w:val="36"/>
          <w:szCs w:val="36"/>
        </w:rPr>
      </w:pPr>
      <w:r>
        <w:rPr>
          <w:rFonts w:hint="eastAsia"/>
          <w:b/>
          <w:bCs/>
          <w:sz w:val="36"/>
          <w:szCs w:val="36"/>
          <w:lang w:eastAsia="zh-CN"/>
        </w:rPr>
        <w:t>三、</w:t>
      </w:r>
      <w:r>
        <w:rPr>
          <w:b/>
          <w:bCs/>
          <w:sz w:val="36"/>
          <w:szCs w:val="36"/>
        </w:rPr>
        <w:t>气象服务渠道指引</w:t>
      </w:r>
      <w:bookmarkEnd w:id="30"/>
    </w:p>
    <w:p>
      <w:pPr>
        <w:spacing w:line="580" w:lineRule="exact"/>
        <w:ind w:firstLine="640" w:firstLineChars="200"/>
        <w:textAlignment w:val="baseline"/>
        <w:rPr>
          <w:rFonts w:hint="eastAsia" w:ascii="仿宋_GB2312" w:hAnsi="Times New Roman" w:cs="Times New Roman"/>
          <w:sz w:val="32"/>
          <w:szCs w:val="32"/>
          <w:lang w:val="en-US" w:eastAsia="zh-CN"/>
        </w:rPr>
      </w:pPr>
      <w:r>
        <w:rPr>
          <w:rFonts w:hint="eastAsia" w:ascii="仿宋_GB2312" w:hAnsi="Times New Roman" w:cs="Times New Roman"/>
          <w:sz w:val="32"/>
          <w:szCs w:val="32"/>
          <w:lang w:val="en-US" w:eastAsia="zh-CN"/>
        </w:rPr>
        <w:t>为方便公众获取形式多样、内容丰富的气象信息服务，遂溪县气象局不断加强气象信息服务传播渠道能力建设，不断提升获取气象信息服务的便利性。目前，公众可以通过电视、微博、微信、手机短信、“12121”应急气象电话、气象信息显示屏、应急气象频道、停课铃APP等渠道获取气象服务。</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6"/>
          <w:szCs w:val="36"/>
          <w:lang w:val="en-US" w:eastAsia="zh-CN" w:bidi="zh-CN"/>
        </w:rPr>
      </w:pPr>
      <w:bookmarkStart w:id="31" w:name="（一）网站"/>
      <w:bookmarkEnd w:id="31"/>
      <w:bookmarkStart w:id="32" w:name="_Toc26243_WPSOffice_Level2"/>
      <w:r>
        <w:rPr>
          <w:rFonts w:hint="eastAsia" w:ascii="宋体" w:hAnsi="宋体" w:eastAsia="宋体" w:cs="宋体"/>
          <w:b/>
          <w:bCs/>
          <w:sz w:val="32"/>
          <w:szCs w:val="32"/>
          <w:lang w:val="en-US" w:eastAsia="zh-CN" w:bidi="zh-CN"/>
        </w:rPr>
        <w:t>（一）</w:t>
      </w:r>
      <w:bookmarkStart w:id="33" w:name="（二）“从化天气”官方微博"/>
      <w:bookmarkEnd w:id="33"/>
      <w:r>
        <w:rPr>
          <w:rFonts w:hint="eastAsia" w:ascii="宋体" w:hAnsi="宋体" w:eastAsia="宋体" w:cs="宋体"/>
          <w:b/>
          <w:bCs/>
          <w:sz w:val="32"/>
          <w:szCs w:val="32"/>
          <w:lang w:val="en-US" w:eastAsia="zh-CN" w:bidi="zh-CN"/>
        </w:rPr>
        <w:t>官方微博</w:t>
      </w:r>
      <w:bookmarkEnd w:id="32"/>
      <w:r>
        <w:rPr>
          <w:rFonts w:hint="eastAsia" w:eastAsia="宋体"/>
          <w:lang w:eastAsia="zh-CN"/>
        </w:rPr>
        <w:drawing>
          <wp:inline distT="0" distB="0" distL="114300" distR="114300">
            <wp:extent cx="5528310" cy="2933065"/>
            <wp:effectExtent l="0" t="0" r="15240" b="635"/>
            <wp:docPr id="5" name="图片 5" descr="1-5渠道介绍-微博"/>
            <wp:cNvGraphicFramePr/>
            <a:graphic xmlns:a="http://schemas.openxmlformats.org/drawingml/2006/main">
              <a:graphicData uri="http://schemas.openxmlformats.org/drawingml/2006/picture">
                <pic:pic xmlns:pic="http://schemas.openxmlformats.org/drawingml/2006/picture">
                  <pic:nvPicPr>
                    <pic:cNvPr id="5" name="图片 5" descr="1-5渠道介绍-微博"/>
                    <pic:cNvPicPr/>
                  </pic:nvPicPr>
                  <pic:blipFill>
                    <a:blip r:embed="rId10"/>
                    <a:stretch>
                      <a:fillRect/>
                    </a:stretch>
                  </pic:blipFill>
                  <pic:spPr>
                    <a:xfrm>
                      <a:off x="0" y="0"/>
                      <a:ext cx="5528310" cy="2933065"/>
                    </a:xfrm>
                    <a:prstGeom prst="rect">
                      <a:avLst/>
                    </a:prstGeom>
                  </pic:spPr>
                </pic:pic>
              </a:graphicData>
            </a:graphic>
          </wp:inline>
        </w:drawing>
      </w:r>
    </w:p>
    <w:p>
      <w:pPr>
        <w:spacing w:line="580" w:lineRule="exact"/>
        <w:ind w:firstLine="640" w:firstLineChars="200"/>
        <w:textAlignment w:val="baseline"/>
        <w:rPr>
          <w:rFonts w:hint="eastAsia" w:ascii="仿宋_GB2312" w:hAnsi="Times New Roman" w:cs="Times New Roman"/>
          <w:sz w:val="32"/>
          <w:szCs w:val="32"/>
          <w:lang w:val="en-US" w:eastAsia="zh-CN"/>
        </w:rPr>
      </w:pPr>
      <w:r>
        <w:rPr>
          <w:rFonts w:hint="eastAsia" w:ascii="仿宋_GB2312" w:hAnsi="Times New Roman" w:cs="Times New Roman"/>
          <w:sz w:val="32"/>
          <w:szCs w:val="32"/>
          <w:lang w:val="en-US" w:eastAsia="zh-CN"/>
        </w:rPr>
        <w:t>“遂溪天气”官方微博于2012年12月3日开通，力求为民众提供更多大众化、知识性、趣味性的气象服务产品。</w:t>
      </w:r>
    </w:p>
    <w:p>
      <w:pPr>
        <w:spacing w:line="580" w:lineRule="exact"/>
        <w:ind w:firstLine="643" w:firstLineChars="200"/>
        <w:textAlignment w:val="baseline"/>
        <w:rPr>
          <w:rFonts w:hint="eastAsia" w:ascii="仿宋_GB2312" w:hAnsi="Times New Roman" w:cs="Times New Roman"/>
          <w:sz w:val="32"/>
          <w:szCs w:val="32"/>
          <w:lang w:val="en-US" w:eastAsia="zh-CN"/>
        </w:rPr>
      </w:pPr>
      <w:r>
        <w:rPr>
          <w:rFonts w:hint="eastAsia" w:ascii="仿宋_GB2312" w:hAnsi="Times New Roman" w:cs="Times New Roman"/>
          <w:b/>
          <w:bCs/>
          <w:sz w:val="32"/>
          <w:szCs w:val="32"/>
          <w:lang w:val="en-US" w:eastAsia="zh-CN"/>
        </w:rPr>
        <w:t>服务内容：</w:t>
      </w:r>
      <w:r>
        <w:rPr>
          <w:rFonts w:hint="eastAsia" w:ascii="仿宋_GB2312" w:hAnsi="Times New Roman" w:cs="Times New Roman"/>
          <w:sz w:val="32"/>
          <w:szCs w:val="32"/>
          <w:lang w:val="en-US" w:eastAsia="zh-CN"/>
        </w:rPr>
        <w:t>天气实况、天气预报预警、各类生活气象服务信息、气象科普知识、各类灾害天气和突发事件的最新动态。</w:t>
      </w:r>
    </w:p>
    <w:p>
      <w:pPr>
        <w:spacing w:line="580" w:lineRule="exact"/>
        <w:ind w:firstLine="643" w:firstLineChars="200"/>
        <w:textAlignment w:val="baseline"/>
        <w:rPr>
          <w:rFonts w:hint="eastAsia" w:ascii="仿宋_GB2312" w:hAnsi="Times New Roman" w:cs="Times New Roman"/>
          <w:sz w:val="32"/>
          <w:szCs w:val="32"/>
          <w:lang w:val="en-US" w:eastAsia="zh-CN"/>
        </w:rPr>
      </w:pPr>
      <w:r>
        <w:rPr>
          <w:rFonts w:hint="eastAsia" w:ascii="仿宋_GB2312" w:hAnsi="Times New Roman" w:cs="Times New Roman"/>
          <w:b/>
          <w:bCs/>
          <w:sz w:val="32"/>
          <w:szCs w:val="32"/>
          <w:lang w:val="zh-CN" w:eastAsia="zh-CN"/>
        </w:rPr>
        <w:t>获取途径：</w:t>
      </w:r>
      <w:r>
        <w:rPr>
          <w:rFonts w:hint="eastAsia" w:ascii="仿宋_GB2312" w:hAnsi="Times New Roman" w:cs="Times New Roman"/>
          <w:sz w:val="32"/>
          <w:szCs w:val="32"/>
          <w:lang w:val="en-US" w:eastAsia="zh-CN"/>
        </w:rPr>
        <w:t>新浪微博http://weibo.com/u/2834316730</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bookmarkStart w:id="34" w:name="_Toc18100_WPSOffice_Level2"/>
      <w:r>
        <w:rPr>
          <w:rFonts w:hint="eastAsia" w:ascii="宋体" w:hAnsi="宋体" w:eastAsia="宋体" w:cs="宋体"/>
          <w:b/>
          <w:bCs/>
          <w:sz w:val="32"/>
          <w:szCs w:val="32"/>
          <w:lang w:val="en-US" w:eastAsia="zh-CN" w:bidi="zh-CN"/>
        </w:rPr>
        <w:t>（二）官方微信</w:t>
      </w:r>
      <w:bookmarkEnd w:id="34"/>
    </w:p>
    <w:p>
      <w:pPr>
        <w:pStyle w:val="5"/>
        <w:keepNext w:val="0"/>
        <w:keepLines w:val="0"/>
        <w:pageBreakBefore w:val="0"/>
        <w:widowControl w:val="0"/>
        <w:kinsoku/>
        <w:wordWrap/>
        <w:overflowPunct/>
        <w:topLinePunct w:val="0"/>
        <w:autoSpaceDE w:val="0"/>
        <w:autoSpaceDN w:val="0"/>
        <w:bidi w:val="0"/>
        <w:adjustRightInd/>
        <w:snapToGrid/>
        <w:spacing w:before="0" w:beforeLines="100" w:after="0" w:afterLines="100" w:line="317" w:lineRule="auto"/>
        <w:ind w:left="0" w:right="618" w:hanging="640" w:hangingChars="200"/>
        <w:jc w:val="both"/>
        <w:textAlignment w:val="auto"/>
        <w:rPr>
          <w:rFonts w:hint="eastAsia" w:eastAsia="宋体"/>
          <w:lang w:eastAsia="zh-CN"/>
        </w:rPr>
      </w:pPr>
      <w:r>
        <w:rPr>
          <w:rFonts w:hint="eastAsia" w:eastAsia="宋体"/>
          <w:lang w:eastAsia="zh-CN"/>
        </w:rPr>
        <w:drawing>
          <wp:inline distT="0" distB="0" distL="114300" distR="114300">
            <wp:extent cx="5828030" cy="3277870"/>
            <wp:effectExtent l="0" t="0" r="1270" b="17780"/>
            <wp:docPr id="11" name="图片 11" descr="1-4渠道介绍-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渠道介绍-微信"/>
                    <pic:cNvPicPr>
                      <a:picLocks noChangeAspect="1"/>
                    </pic:cNvPicPr>
                  </pic:nvPicPr>
                  <pic:blipFill>
                    <a:blip r:embed="rId11"/>
                    <a:stretch>
                      <a:fillRect/>
                    </a:stretch>
                  </pic:blipFill>
                  <pic:spPr>
                    <a:xfrm>
                      <a:off x="0" y="0"/>
                      <a:ext cx="5828030" cy="3277870"/>
                    </a:xfrm>
                    <a:prstGeom prst="rect">
                      <a:avLst/>
                    </a:prstGeom>
                  </pic:spPr>
                </pic:pic>
              </a:graphicData>
            </a:graphic>
          </wp:inline>
        </w:drawing>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“遂溪天气”、“遂溪应急预警中心”微信公众号均为遂溪县气象局官方微信公众号。</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遂溪天气”主要向公众提供精细化天气预报服务，包括预报预警、天气实况、缤纷微天气等。内容包括遂溪县早晚间天气预报、短时临近预报、旅游天气、气象科普知识等。“遂溪应急预警中心”主要向公众发布遂溪全县天气实况、各乡镇未来一周精细化天气预报、气象科普知识、生活小贴士等等。</w:t>
      </w:r>
    </w:p>
    <w:p>
      <w:pPr>
        <w:pStyle w:val="5"/>
        <w:spacing w:before="9"/>
        <w:jc w:val="both"/>
        <w:rPr>
          <w:rFonts w:hint="eastAsia" w:ascii="宋体" w:hAnsi="宋体" w:eastAsia="宋体" w:cs="宋体"/>
          <w:b/>
          <w:bCs/>
          <w:sz w:val="36"/>
          <w:szCs w:val="36"/>
          <w:lang w:val="en-US" w:eastAsia="zh-CN" w:bidi="zh-CN"/>
        </w:rPr>
      </w:pPr>
      <w:bookmarkStart w:id="35" w:name="（四）加强推进落实气象应急预案"/>
      <w:bookmarkEnd w:id="35"/>
      <w:bookmarkStart w:id="36" w:name="（六）积极推动生态文明建设气象保障服务"/>
      <w:bookmarkEnd w:id="36"/>
      <w:bookmarkStart w:id="37" w:name="（三）“从化天气”官方微信、停课铃APP"/>
      <w:bookmarkEnd w:id="37"/>
      <w:bookmarkStart w:id="38" w:name="三、气象服务渠道指引"/>
      <w:bookmarkEnd w:id="38"/>
      <w:r>
        <w:rPr>
          <w:rFonts w:hint="eastAsia" w:ascii="宋体" w:hAnsi="宋体" w:eastAsia="宋体" w:cs="宋体"/>
          <w:b/>
          <w:bCs/>
          <w:sz w:val="36"/>
          <w:szCs w:val="36"/>
          <w:lang w:val="en-US" w:eastAsia="zh-CN" w:bidi="zh-CN"/>
        </w:rPr>
        <w:drawing>
          <wp:inline distT="0" distB="0" distL="114300" distR="114300">
            <wp:extent cx="5414010" cy="2513965"/>
            <wp:effectExtent l="0" t="0" r="15240" b="635"/>
            <wp:docPr id="14" name="图片 14" descr="C:\Users\lenovo\Desktop\QQ图片20210319112133.jpgQQ图片2021031911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QQ图片20210319112133.jpgQQ图片20210319112133"/>
                    <pic:cNvPicPr>
                      <a:picLocks noChangeAspect="1"/>
                    </pic:cNvPicPr>
                  </pic:nvPicPr>
                  <pic:blipFill>
                    <a:blip r:embed="rId12"/>
                    <a:srcRect/>
                    <a:stretch>
                      <a:fillRect/>
                    </a:stretch>
                  </pic:blipFill>
                  <pic:spPr>
                    <a:xfrm>
                      <a:off x="0" y="0"/>
                      <a:ext cx="5414010" cy="2513965"/>
                    </a:xfrm>
                    <a:prstGeom prst="rect">
                      <a:avLst/>
                    </a:prstGeom>
                  </pic:spPr>
                </pic:pic>
              </a:graphicData>
            </a:graphic>
          </wp:inline>
        </w:drawing>
      </w:r>
    </w:p>
    <w:p>
      <w:pPr>
        <w:pStyle w:val="5"/>
        <w:spacing w:line="316" w:lineRule="auto"/>
        <w:ind w:left="120" w:right="619" w:firstLine="640"/>
        <w:jc w:val="both"/>
        <w:rPr>
          <w:rFonts w:hint="eastAsia" w:ascii="仿宋_GB2312" w:hAnsi="Times New Roman" w:eastAsia="宋体" w:cs="Times New Roman"/>
          <w:b/>
          <w:bCs/>
          <w:sz w:val="32"/>
          <w:szCs w:val="32"/>
          <w:lang w:val="en-US" w:eastAsia="zh-CN" w:bidi="zh-CN"/>
        </w:rPr>
      </w:pPr>
      <w:bookmarkStart w:id="39" w:name="_Toc10_WPSOffice_Level2"/>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获取途径：</w:t>
      </w:r>
      <w:r>
        <w:rPr>
          <w:rFonts w:hint="eastAsia" w:ascii="仿宋_GB2312" w:hAnsi="Times New Roman" w:eastAsia="宋体" w:cs="Times New Roman"/>
          <w:sz w:val="32"/>
          <w:szCs w:val="32"/>
          <w:lang w:val="en-US" w:eastAsia="zh-CN" w:bidi="zh-CN"/>
        </w:rPr>
        <w:t>通过微信搜索“遂溪天气”、“遂溪应急预警中心”或扫描“遂溪天气”、“遂溪应急预警中心”二维码关注“停课铃”是广东省气象局官方客户端，其采用公有云的技术架构，运用分布式云计算、弹性带宽、负载均衡等技术，提供精细到街道，可智能个性响应的预警信号和天气信息服务，方便广大公众和学生家长第一时间接收到用户所在地区的停课信号以及天气预警信息，为孩子上学出行做好充足准备。</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sectPr>
          <w:pgSz w:w="11910" w:h="16840"/>
          <w:pgMar w:top="1500" w:right="1020" w:bottom="1380" w:left="1680" w:header="0" w:footer="1184" w:gutter="0"/>
          <w:cols w:space="720" w:num="1"/>
        </w:sect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r>
        <w:rPr>
          <w:rFonts w:hint="eastAsia" w:ascii="宋体" w:hAnsi="宋体" w:eastAsia="宋体" w:cs="宋体"/>
          <w:b/>
          <w:bCs/>
          <w:sz w:val="32"/>
          <w:szCs w:val="32"/>
          <w:lang w:val="en-US" w:eastAsia="zh-CN" w:bidi="zh-CN"/>
        </w:rPr>
        <w:t>（三）“停课铃”客户端</w:t>
      </w:r>
      <w:bookmarkEnd w:id="39"/>
    </w:p>
    <w:p>
      <w:pPr>
        <w:pStyle w:val="4"/>
        <w:keepNext w:val="0"/>
        <w:keepLines w:val="0"/>
        <w:pageBreakBefore w:val="0"/>
        <w:widowControl w:val="0"/>
        <w:kinsoku/>
        <w:wordWrap/>
        <w:overflowPunct/>
        <w:topLinePunct w:val="0"/>
        <w:autoSpaceDE w:val="0"/>
        <w:autoSpaceDN w:val="0"/>
        <w:bidi w:val="0"/>
        <w:adjustRightInd/>
        <w:snapToGrid/>
        <w:spacing w:before="0" w:beforeLines="100" w:after="0" w:afterLines="100"/>
        <w:ind w:left="119"/>
        <w:textAlignment w:val="auto"/>
        <w:rPr>
          <w:rFonts w:hint="eastAsia"/>
          <w:lang w:val="en-US" w:eastAsia="zh-CN"/>
        </w:rPr>
      </w:pPr>
      <w:r>
        <w:rPr>
          <w:rFonts w:hint="eastAsia" w:ascii="宋体" w:hAnsi="宋体" w:eastAsia="宋体" w:cs="宋体"/>
          <w:b/>
          <w:bCs/>
          <w:sz w:val="32"/>
          <w:szCs w:val="32"/>
          <w:lang w:val="en-US" w:eastAsia="zh-CN" w:bidi="zh-CN"/>
        </w:rPr>
        <w:drawing>
          <wp:inline distT="0" distB="0" distL="114300" distR="114300">
            <wp:extent cx="5828030" cy="3277870"/>
            <wp:effectExtent l="0" t="0" r="1270" b="17780"/>
            <wp:docPr id="13" name="图片 13" descr="1-6渠道介绍-停课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渠道介绍-停课铃"/>
                    <pic:cNvPicPr>
                      <a:picLocks noChangeAspect="1"/>
                    </pic:cNvPicPr>
                  </pic:nvPicPr>
                  <pic:blipFill>
                    <a:blip r:embed="rId13"/>
                    <a:stretch>
                      <a:fillRect/>
                    </a:stretch>
                  </pic:blipFill>
                  <pic:spPr>
                    <a:xfrm>
                      <a:off x="0" y="0"/>
                      <a:ext cx="5828030" cy="3277870"/>
                    </a:xfrm>
                    <a:prstGeom prst="rect">
                      <a:avLst/>
                    </a:prstGeom>
                  </pic:spPr>
                </pic:pic>
              </a:graphicData>
            </a:graphic>
          </wp:inline>
        </w:drawing>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天气实况、全省预警、停课通知、逐天预报、空气质量、黄历等个性化服务。</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获取途径：</w:t>
      </w:r>
      <w:r>
        <w:rPr>
          <w:rFonts w:hint="eastAsia" w:ascii="仿宋_GB2312" w:hAnsi="Times New Roman" w:eastAsia="宋体" w:cs="Times New Roman"/>
          <w:sz w:val="32"/>
          <w:szCs w:val="32"/>
          <w:lang w:val="en-US" w:eastAsia="zh-CN" w:bidi="zh-CN"/>
        </w:rPr>
        <w:t>可在</w:t>
      </w:r>
      <w:r>
        <w:rPr>
          <w:rFonts w:hint="default" w:ascii="仿宋_GB2312" w:hAnsi="Times New Roman" w:eastAsia="宋体" w:cs="Times New Roman"/>
          <w:sz w:val="32"/>
          <w:szCs w:val="32"/>
          <w:lang w:val="en-US" w:eastAsia="zh-CN" w:bidi="zh-CN"/>
        </w:rPr>
        <w:fldChar w:fldCharType="begin"/>
      </w:r>
      <w:r>
        <w:rPr>
          <w:rFonts w:hint="default" w:ascii="仿宋_GB2312" w:hAnsi="Times New Roman" w:eastAsia="宋体" w:cs="Times New Roman"/>
          <w:sz w:val="32"/>
          <w:szCs w:val="32"/>
          <w:lang w:val="en-US" w:eastAsia="zh-CN" w:bidi="zh-CN"/>
        </w:rPr>
        <w:instrText xml:space="preserve"> HYPERLINK "http://www.gd121.cn/" </w:instrText>
      </w:r>
      <w:r>
        <w:rPr>
          <w:rFonts w:hint="default" w:ascii="仿宋_GB2312" w:hAnsi="Times New Roman" w:eastAsia="宋体" w:cs="Times New Roman"/>
          <w:sz w:val="32"/>
          <w:szCs w:val="32"/>
          <w:lang w:val="en-US" w:eastAsia="zh-CN" w:bidi="zh-CN"/>
        </w:rPr>
        <w:fldChar w:fldCharType="separate"/>
      </w:r>
      <w:r>
        <w:rPr>
          <w:rFonts w:hint="eastAsia" w:ascii="仿宋_GB2312" w:hAnsi="Times New Roman" w:eastAsia="宋体" w:cs="Times New Roman"/>
          <w:sz w:val="32"/>
          <w:szCs w:val="32"/>
          <w:lang w:val="en-US" w:eastAsia="zh-CN" w:bidi="zh-CN"/>
        </w:rPr>
        <w:t>http://www.gd121.cn/</w:t>
      </w:r>
      <w:r>
        <w:rPr>
          <w:rFonts w:hint="default" w:ascii="仿宋_GB2312" w:hAnsi="Times New Roman" w:eastAsia="宋体" w:cs="Times New Roman"/>
          <w:sz w:val="32"/>
          <w:szCs w:val="32"/>
          <w:lang w:val="en-US" w:eastAsia="zh-CN" w:bidi="zh-CN"/>
        </w:rPr>
        <w:fldChar w:fldCharType="end"/>
      </w:r>
      <w:r>
        <w:rPr>
          <w:rFonts w:hint="eastAsia" w:ascii="仿宋_GB2312" w:hAnsi="Times New Roman" w:eastAsia="宋体" w:cs="Times New Roman"/>
          <w:sz w:val="32"/>
          <w:szCs w:val="32"/>
          <w:lang w:val="en-US" w:eastAsia="zh-CN" w:bidi="zh-CN"/>
        </w:rPr>
        <w:t>、缤纷微天气和各大电子应用市场免费下载。</w:t>
      </w:r>
    </w:p>
    <w:p>
      <w:pPr>
        <w:keepNext w:val="0"/>
        <w:keepLines w:val="0"/>
        <w:widowControl w:val="0"/>
        <w:suppressLineNumbers w:val="0"/>
        <w:spacing w:before="0" w:beforeAutospacing="0" w:after="0" w:afterAutospacing="0"/>
        <w:ind w:left="0" w:right="0"/>
        <w:jc w:val="center"/>
        <w:rPr>
          <w:rFonts w:hint="eastAsia" w:ascii="宋体" w:hAnsi="宋体" w:eastAsia="宋体" w:cs="宋体"/>
          <w:szCs w:val="32"/>
          <w:lang w:val="en-US" w:eastAsia="zh-CN"/>
        </w:rPr>
      </w:pPr>
      <w:r>
        <w:rPr>
          <w:rFonts w:hint="eastAsia" w:ascii="宋体" w:hAnsi="宋体" w:eastAsia="宋体" w:cs="宋体"/>
          <w:szCs w:val="32"/>
          <w:lang w:val="en-US" w:eastAsia="zh-CN"/>
        </w:rPr>
        <w:drawing>
          <wp:inline distT="0" distB="0" distL="114300" distR="114300">
            <wp:extent cx="5831840" cy="2915920"/>
            <wp:effectExtent l="0" t="0" r="16510" b="17780"/>
            <wp:docPr id="12" name="图片 12" descr="停课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停课铃"/>
                    <pic:cNvPicPr>
                      <a:picLocks noChangeAspect="1"/>
                    </pic:cNvPicPr>
                  </pic:nvPicPr>
                  <pic:blipFill>
                    <a:blip r:embed="rId14"/>
                    <a:stretch>
                      <a:fillRect/>
                    </a:stretch>
                  </pic:blipFill>
                  <pic:spPr>
                    <a:xfrm>
                      <a:off x="0" y="0"/>
                      <a:ext cx="5831840" cy="2915920"/>
                    </a:xfrm>
                    <a:prstGeom prst="rect">
                      <a:avLst/>
                    </a:prstGeom>
                  </pic:spPr>
                </pic:pic>
              </a:graphicData>
            </a:graphic>
          </wp:inline>
        </w:drawing>
      </w:r>
    </w:p>
    <w:p>
      <w:pPr>
        <w:spacing w:after="0"/>
        <w:rPr>
          <w:sz w:val="10"/>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bookmarkStart w:id="40" w:name="_Toc24888_WPSOffice_Level2"/>
      <w:r>
        <w:rPr>
          <w:rFonts w:hint="eastAsia" w:ascii="宋体" w:hAnsi="宋体" w:eastAsia="宋体" w:cs="宋体"/>
          <w:b/>
          <w:bCs/>
          <w:sz w:val="32"/>
          <w:szCs w:val="32"/>
          <w:lang w:val="en-US" w:eastAsia="zh-CN" w:bidi="zh-CN"/>
        </w:rPr>
        <w:t>（四）订制天气短信</w:t>
      </w:r>
      <w:bookmarkEnd w:id="40"/>
    </w:p>
    <w:p>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00" w:after="0" w:afterLines="100"/>
        <w:ind w:right="0" w:rightChars="0"/>
        <w:textAlignment w:val="auto"/>
        <w:rPr>
          <w:rFonts w:hint="eastAsia"/>
          <w:lang w:val="en-US" w:eastAsia="zh-CN"/>
        </w:rPr>
      </w:pPr>
      <w:r>
        <w:rPr>
          <w:rFonts w:hint="eastAsia"/>
          <w:lang w:val="en-US" w:eastAsia="zh-CN"/>
        </w:rPr>
        <w:drawing>
          <wp:inline distT="0" distB="0" distL="114300" distR="114300">
            <wp:extent cx="5828030" cy="3277870"/>
            <wp:effectExtent l="0" t="0" r="1270" b="17780"/>
            <wp:docPr id="15" name="图片 15" descr="1-2渠道介绍-短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渠道介绍-短信"/>
                    <pic:cNvPicPr>
                      <a:picLocks noChangeAspect="1"/>
                    </pic:cNvPicPr>
                  </pic:nvPicPr>
                  <pic:blipFill>
                    <a:blip r:embed="rId15"/>
                    <a:stretch>
                      <a:fillRect/>
                    </a:stretch>
                  </pic:blipFill>
                  <pic:spPr>
                    <a:xfrm>
                      <a:off x="0" y="0"/>
                      <a:ext cx="5828030" cy="3277870"/>
                    </a:xfrm>
                    <a:prstGeom prst="rect">
                      <a:avLst/>
                    </a:prstGeom>
                  </pic:spPr>
                </pic:pic>
              </a:graphicData>
            </a:graphic>
          </wp:inline>
        </w:drawing>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每天定时发送最新天气预报及生活提醒信息，遇重大灾害性天气或天气事件，将以特别提醒的方式告知最新的天气变化情况。</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获取途径：</w:t>
      </w:r>
      <w:r>
        <w:rPr>
          <w:rFonts w:hint="eastAsia" w:ascii="仿宋_GB2312" w:hAnsi="Times New Roman" w:eastAsia="宋体" w:cs="Times New Roman"/>
          <w:sz w:val="32"/>
          <w:szCs w:val="32"/>
          <w:lang w:val="en-US" w:eastAsia="zh-CN" w:bidi="zh-CN"/>
        </w:rPr>
        <w:t>可分别定制早晚天气预报信息。晚间短信：编写手机短信“11”或“110759SX”发送至“10620121”；早间短信：编写手机短信“11AM”发送至“10620121”。</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资费标准：</w:t>
      </w:r>
      <w:r>
        <w:rPr>
          <w:rFonts w:hint="eastAsia" w:ascii="仿宋_GB2312" w:hAnsi="Times New Roman" w:eastAsia="宋体" w:cs="Times New Roman"/>
          <w:sz w:val="32"/>
          <w:szCs w:val="32"/>
          <w:lang w:val="en-US" w:eastAsia="zh-CN" w:bidi="zh-CN"/>
        </w:rPr>
        <w:t>信息服务费2元/月。</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bookmarkStart w:id="41" w:name="（五）电视"/>
      <w:bookmarkEnd w:id="41"/>
      <w:bookmarkStart w:id="42" w:name="_Toc1352_WPSOffice_Level2"/>
      <w:r>
        <w:rPr>
          <w:rFonts w:hint="eastAsia" w:ascii="宋体" w:hAnsi="宋体" w:eastAsia="宋体" w:cs="宋体"/>
          <w:b/>
          <w:bCs/>
          <w:sz w:val="32"/>
          <w:szCs w:val="32"/>
          <w:lang w:val="en-US" w:eastAsia="zh-CN" w:bidi="zh-CN"/>
        </w:rPr>
        <w:t>（五）“12121”应急气象电话</w:t>
      </w:r>
      <w:bookmarkEnd w:id="42"/>
    </w:p>
    <w:p>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00" w:after="0" w:afterLines="100"/>
        <w:ind w:right="0" w:rightChars="0"/>
        <w:textAlignment w:val="auto"/>
        <w:rPr>
          <w:rFonts w:hint="eastAsia"/>
          <w:lang w:val="en-US" w:eastAsia="zh-CN"/>
        </w:rPr>
      </w:pPr>
      <w:r>
        <w:rPr>
          <w:rFonts w:hint="eastAsia"/>
          <w:lang w:val="en-US" w:eastAsia="zh-CN"/>
        </w:rPr>
        <w:drawing>
          <wp:inline distT="0" distB="0" distL="114300" distR="114300">
            <wp:extent cx="5842635" cy="3271520"/>
            <wp:effectExtent l="0" t="0" r="5715" b="5080"/>
            <wp:docPr id="17" name="图片 17" descr="QQ截图2020032013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200320131756"/>
                    <pic:cNvPicPr>
                      <a:picLocks noChangeAspect="1"/>
                    </pic:cNvPicPr>
                  </pic:nvPicPr>
                  <pic:blipFill>
                    <a:blip r:embed="rId16"/>
                    <a:stretch>
                      <a:fillRect/>
                    </a:stretch>
                  </pic:blipFill>
                  <pic:spPr>
                    <a:xfrm>
                      <a:off x="0" y="0"/>
                      <a:ext cx="5842635" cy="3271520"/>
                    </a:xfrm>
                    <a:prstGeom prst="rect">
                      <a:avLst/>
                    </a:prstGeom>
                  </pic:spPr>
                </pic:pic>
              </a:graphicData>
            </a:graphic>
          </wp:inline>
        </w:drawing>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“12121”应急气象电话是查询天气信息的专用电话服务号。2012年起新增“巨灾报平安”服务功能，发生巨灾时，公众可拨打“12121”向亲朋留言报平安。</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提供天气预报预警信息和气象科普信息。当发生巨灾时，提供巨灾报平安服务。</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获取途径：</w:t>
      </w:r>
      <w:r>
        <w:rPr>
          <w:rFonts w:hint="eastAsia" w:ascii="仿宋_GB2312" w:hAnsi="Times New Roman" w:eastAsia="宋体" w:cs="Times New Roman"/>
          <w:sz w:val="32"/>
          <w:szCs w:val="32"/>
          <w:lang w:val="en-US" w:eastAsia="zh-CN" w:bidi="zh-CN"/>
        </w:rPr>
        <w:t>电话拨打“12121”。</w:t>
      </w:r>
    </w:p>
    <w:p>
      <w:pPr>
        <w:pStyle w:val="4"/>
        <w:keepNext w:val="0"/>
        <w:keepLines w:val="0"/>
        <w:pageBreakBefore w:val="0"/>
        <w:widowControl w:val="0"/>
        <w:kinsoku/>
        <w:wordWrap/>
        <w:overflowPunct/>
        <w:topLinePunct w:val="0"/>
        <w:autoSpaceDE w:val="0"/>
        <w:autoSpaceDN w:val="0"/>
        <w:bidi w:val="0"/>
        <w:adjustRightInd/>
        <w:snapToGrid/>
        <w:spacing w:before="0" w:beforeLines="100" w:after="0" w:afterLines="100"/>
        <w:ind w:left="119" w:firstLine="643" w:firstLineChars="200"/>
        <w:textAlignment w:val="auto"/>
        <w:rPr>
          <w:rFonts w:hint="eastAsia" w:ascii="宋体" w:hAnsi="宋体" w:eastAsia="宋体" w:cs="宋体"/>
          <w:b/>
          <w:bCs/>
          <w:sz w:val="36"/>
          <w:szCs w:val="36"/>
          <w:lang w:val="en-US" w:eastAsia="zh-CN" w:bidi="zh-CN"/>
        </w:rPr>
      </w:pPr>
      <w:bookmarkStart w:id="43" w:name="_Toc13499_WPSOffice_Level2"/>
      <w:r>
        <w:rPr>
          <w:rFonts w:hint="eastAsia" w:ascii="宋体" w:hAnsi="宋体" w:eastAsia="宋体" w:cs="宋体"/>
          <w:b/>
          <w:bCs/>
          <w:sz w:val="32"/>
          <w:szCs w:val="32"/>
          <w:lang w:val="en-US" w:eastAsia="zh-CN" w:bidi="zh-CN"/>
        </w:rPr>
        <w:t>（六）</w:t>
      </w:r>
      <w:bookmarkStart w:id="44" w:name="（七）报刊"/>
      <w:bookmarkEnd w:id="44"/>
      <w:r>
        <w:rPr>
          <w:rFonts w:hint="eastAsia" w:ascii="宋体" w:hAnsi="宋体" w:eastAsia="宋体" w:cs="宋体"/>
          <w:b/>
          <w:bCs/>
          <w:sz w:val="32"/>
          <w:szCs w:val="32"/>
          <w:lang w:val="en-US" w:eastAsia="zh-CN" w:bidi="zh-CN"/>
        </w:rPr>
        <w:t>电视</w:t>
      </w:r>
      <w:bookmarkEnd w:id="43"/>
      <w:r>
        <w:rPr>
          <w:rFonts w:hint="eastAsia"/>
          <w:spacing w:val="-1"/>
          <w:lang w:val="en-US" w:eastAsia="zh-CN"/>
        </w:rPr>
        <w:drawing>
          <wp:inline distT="0" distB="0" distL="114300" distR="114300">
            <wp:extent cx="5834380" cy="3261360"/>
            <wp:effectExtent l="0" t="0" r="13970" b="15240"/>
            <wp:docPr id="18" name="图片 18" descr="电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电视"/>
                    <pic:cNvPicPr>
                      <a:picLocks noChangeAspect="1"/>
                    </pic:cNvPicPr>
                  </pic:nvPicPr>
                  <pic:blipFill>
                    <a:blip r:embed="rId17"/>
                    <a:stretch>
                      <a:fillRect/>
                    </a:stretch>
                  </pic:blipFill>
                  <pic:spPr>
                    <a:xfrm>
                      <a:off x="0" y="0"/>
                      <a:ext cx="5834380" cy="3261360"/>
                    </a:xfrm>
                    <a:prstGeom prst="rect">
                      <a:avLst/>
                    </a:prstGeom>
                  </pic:spPr>
                </pic:pic>
              </a:graphicData>
            </a:graphic>
          </wp:inline>
        </w:drawing>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遂溪广播电视台晚间时段会播放天气预报节目。当灾害性天气影响时，电视台以悬挂预警图标和走马字幕形式滚动播出最新气象消息，及时传播预警信号。</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提供天气预报预警信息、生活气象、气象科普、气象灾害防御指引等内容。</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获取途径：</w:t>
      </w:r>
      <w:r>
        <w:rPr>
          <w:rFonts w:hint="eastAsia" w:ascii="仿宋_GB2312" w:hAnsi="Times New Roman" w:eastAsia="宋体" w:cs="Times New Roman"/>
          <w:sz w:val="32"/>
          <w:szCs w:val="32"/>
          <w:lang w:val="en-US" w:eastAsia="zh-CN" w:bidi="zh-CN"/>
        </w:rPr>
        <w:t>收看遂溪广播电视台天气预报节目。</w:t>
      </w:r>
    </w:p>
    <w:tbl>
      <w:tblPr>
        <w:tblStyle w:val="10"/>
        <w:tblW w:w="7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02"/>
        <w:gridCol w:w="2841"/>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宋体"/>
                <w:b/>
                <w:bCs w:val="0"/>
                <w:kern w:val="2"/>
                <w:sz w:val="28"/>
                <w:szCs w:val="30"/>
                <w:lang w:val="en-US"/>
              </w:rPr>
            </w:pPr>
            <w:r>
              <w:rPr>
                <w:rFonts w:hint="eastAsia" w:ascii="宋体" w:hAnsi="宋体" w:eastAsia="宋体" w:cs="宋体"/>
                <w:b/>
                <w:bCs w:val="0"/>
                <w:kern w:val="2"/>
                <w:sz w:val="28"/>
                <w:szCs w:val="30"/>
                <w:lang w:val="en-US" w:eastAsia="zh-CN" w:bidi="ar"/>
              </w:rPr>
              <w:t>节目名称</w:t>
            </w: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宋体"/>
                <w:b/>
                <w:bCs w:val="0"/>
                <w:kern w:val="2"/>
                <w:sz w:val="28"/>
                <w:szCs w:val="30"/>
                <w:lang w:val="en-US"/>
              </w:rPr>
            </w:pPr>
            <w:r>
              <w:rPr>
                <w:rFonts w:hint="eastAsia" w:ascii="宋体" w:hAnsi="宋体" w:eastAsia="宋体" w:cs="宋体"/>
                <w:b/>
                <w:bCs w:val="0"/>
                <w:kern w:val="2"/>
                <w:sz w:val="28"/>
                <w:szCs w:val="30"/>
                <w:lang w:val="en-US" w:eastAsia="zh-CN" w:bidi="ar"/>
              </w:rPr>
              <w:t>播出平台</w:t>
            </w: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宋体"/>
                <w:b/>
                <w:bCs w:val="0"/>
                <w:kern w:val="2"/>
                <w:sz w:val="28"/>
                <w:szCs w:val="30"/>
                <w:lang w:val="en-US"/>
              </w:rPr>
            </w:pPr>
            <w:r>
              <w:rPr>
                <w:rFonts w:hint="eastAsia" w:ascii="宋体" w:hAnsi="宋体" w:eastAsia="宋体" w:cs="宋体"/>
                <w:b/>
                <w:bCs w:val="0"/>
                <w:kern w:val="2"/>
                <w:sz w:val="28"/>
                <w:szCs w:val="30"/>
                <w:lang w:val="en-US" w:eastAsia="zh-CN" w:bidi="ar"/>
              </w:rPr>
              <w:t>播出时间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宋体"/>
                <w:b/>
                <w:bCs/>
                <w:kern w:val="2"/>
                <w:sz w:val="24"/>
                <w:szCs w:val="30"/>
                <w:lang w:val="en-US"/>
              </w:rPr>
            </w:pPr>
            <w:r>
              <w:rPr>
                <w:rFonts w:hint="eastAsia" w:ascii="宋体" w:hAnsi="Calibri" w:eastAsia="宋体" w:cs="宋体"/>
                <w:b/>
                <w:bCs/>
                <w:kern w:val="2"/>
                <w:sz w:val="24"/>
                <w:szCs w:val="30"/>
                <w:lang w:val="en-US" w:eastAsia="zh-CN" w:bidi="ar"/>
              </w:rPr>
              <w:t>遂溪天气预报</w:t>
            </w: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宋体"/>
                <w:b/>
                <w:bCs/>
                <w:kern w:val="2"/>
                <w:sz w:val="24"/>
                <w:szCs w:val="30"/>
                <w:lang w:val="en-US"/>
              </w:rPr>
            </w:pPr>
            <w:r>
              <w:rPr>
                <w:rFonts w:hint="eastAsia" w:ascii="宋体" w:hAnsi="宋体" w:eastAsia="宋体" w:cs="宋体"/>
                <w:b/>
                <w:bCs/>
                <w:kern w:val="2"/>
                <w:sz w:val="24"/>
                <w:szCs w:val="30"/>
                <w:lang w:val="en-US" w:eastAsia="zh-CN" w:bidi="ar"/>
              </w:rPr>
              <w:t>遂溪广播电视台</w:t>
            </w:r>
          </w:p>
        </w:tc>
        <w:tc>
          <w:tcPr>
            <w:tcW w:w="20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宋体"/>
                <w:b/>
                <w:bCs/>
                <w:kern w:val="2"/>
                <w:sz w:val="24"/>
                <w:szCs w:val="30"/>
                <w:lang w:val="en-US"/>
              </w:rPr>
            </w:pPr>
            <w:r>
              <w:rPr>
                <w:rFonts w:hint="eastAsia" w:ascii="宋体" w:hAnsi="宋体" w:eastAsia="宋体" w:cs="宋体"/>
                <w:b/>
                <w:bCs/>
                <w:kern w:val="2"/>
                <w:sz w:val="24"/>
                <w:szCs w:val="30"/>
                <w:lang w:val="en-US" w:eastAsia="zh-CN" w:bidi="ar"/>
              </w:rPr>
              <w:t>首播19:30</w:t>
            </w:r>
          </w:p>
          <w:p>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宋体"/>
                <w:b/>
                <w:bCs/>
                <w:kern w:val="2"/>
                <w:sz w:val="24"/>
                <w:szCs w:val="30"/>
                <w:lang w:val="en-US"/>
              </w:rPr>
            </w:pPr>
            <w:r>
              <w:rPr>
                <w:rFonts w:hint="eastAsia" w:ascii="宋体" w:hAnsi="宋体" w:eastAsia="宋体" w:cs="宋体"/>
                <w:b/>
                <w:bCs/>
                <w:kern w:val="2"/>
                <w:sz w:val="24"/>
                <w:szCs w:val="30"/>
                <w:lang w:val="en-US" w:eastAsia="zh-CN" w:bidi="ar"/>
              </w:rPr>
              <w:t>重播21:30</w:t>
            </w:r>
          </w:p>
        </w:tc>
      </w:tr>
    </w:tbl>
    <w:p>
      <w:pPr>
        <w:keepNext w:val="0"/>
        <w:keepLines w:val="0"/>
        <w:widowControl w:val="0"/>
        <w:suppressLineNumbers w:val="0"/>
        <w:spacing w:before="0" w:beforeAutospacing="0" w:after="0" w:afterAutospacing="0"/>
        <w:ind w:left="0" w:right="0" w:firstLine="640" w:firstLineChars="200"/>
        <w:jc w:val="both"/>
        <w:rPr>
          <w:rFonts w:hint="eastAsia" w:ascii="宋体" w:hAnsi="Calibri" w:eastAsia="宋体" w:cs="宋体"/>
          <w:sz w:val="30"/>
          <w:szCs w:val="30"/>
          <w:lang w:val="en-US"/>
        </w:rPr>
      </w:pPr>
      <w:r>
        <w:rPr>
          <w:rFonts w:hint="eastAsia" w:ascii="仿宋_GB2312" w:hAnsi="Times New Roman" w:eastAsia="宋体" w:cs="Times New Roman"/>
          <w:sz w:val="32"/>
          <w:szCs w:val="32"/>
          <w:lang w:val="en-US" w:eastAsia="zh-CN" w:bidi="zh-CN"/>
        </w:rPr>
        <w:t>注：节目时间为《遂溪新闻》后播出，偶有调整，以实际播出时间为准。</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bookmarkStart w:id="45" w:name="_Toc15403_WPSOffice_Level2"/>
      <w:r>
        <w:rPr>
          <w:rFonts w:hint="eastAsia" w:ascii="宋体" w:hAnsi="宋体" w:eastAsia="宋体" w:cs="宋体"/>
          <w:b/>
          <w:bCs/>
          <w:sz w:val="32"/>
          <w:szCs w:val="32"/>
          <w:lang w:val="en-US" w:eastAsia="zh-CN" w:bidi="zh-CN"/>
        </w:rPr>
        <w:t>（七）广播电台</w:t>
      </w:r>
      <w:bookmarkEnd w:id="45"/>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广播电台是播报天气预报信息的传统渠道之一，新闻节目后通常设有天气预报节目，灾害性天气影响时以实时播报和专家连线的方式提供最新天气动态。</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提供全县天气预报、灾害性天气预警以及气象热点、专家访谈等服务。</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获取途径：</w:t>
      </w:r>
      <w:r>
        <w:rPr>
          <w:rFonts w:hint="eastAsia" w:ascii="仿宋_GB2312" w:hAnsi="Times New Roman" w:eastAsia="宋体" w:cs="Times New Roman"/>
          <w:sz w:val="32"/>
          <w:szCs w:val="32"/>
          <w:lang w:val="en-US" w:eastAsia="zh-CN" w:bidi="zh-CN"/>
        </w:rPr>
        <w:t>遂溪县广播电台FM104.8。</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bookmarkStart w:id="46" w:name="_Toc27250_WPSOffice_Level2"/>
      <w:r>
        <w:rPr>
          <w:rFonts w:hint="eastAsia" w:ascii="宋体" w:hAnsi="宋体" w:eastAsia="宋体" w:cs="宋体"/>
          <w:b/>
          <w:bCs/>
          <w:sz w:val="32"/>
          <w:szCs w:val="32"/>
          <w:lang w:val="en-US" w:eastAsia="zh-CN" w:bidi="zh-CN"/>
        </w:rPr>
        <w:t>（八）气象信息显示屏</w:t>
      </w:r>
      <w:bookmarkEnd w:id="46"/>
    </w:p>
    <w:p>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00" w:after="0" w:afterLines="100"/>
        <w:ind w:right="0" w:rightChars="0"/>
        <w:textAlignment w:val="auto"/>
        <w:rPr>
          <w:rFonts w:hint="eastAsia"/>
          <w:lang w:val="en-US" w:eastAsia="zh-CN"/>
        </w:rPr>
      </w:pPr>
      <w:r>
        <w:rPr>
          <w:rFonts w:hint="eastAsia"/>
          <w:lang w:val="en-US" w:eastAsia="zh-CN"/>
        </w:rPr>
        <w:drawing>
          <wp:inline distT="0" distB="0" distL="114300" distR="114300">
            <wp:extent cx="5845175" cy="3282950"/>
            <wp:effectExtent l="0" t="0" r="3175" b="12700"/>
            <wp:docPr id="20" name="图片 20" descr="显示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显示屏"/>
                    <pic:cNvPicPr>
                      <a:picLocks noChangeAspect="1"/>
                    </pic:cNvPicPr>
                  </pic:nvPicPr>
                  <pic:blipFill>
                    <a:blip r:embed="rId18"/>
                    <a:stretch>
                      <a:fillRect/>
                    </a:stretch>
                  </pic:blipFill>
                  <pic:spPr>
                    <a:xfrm>
                      <a:off x="0" y="0"/>
                      <a:ext cx="5845175" cy="3282950"/>
                    </a:xfrm>
                    <a:prstGeom prst="rect">
                      <a:avLst/>
                    </a:prstGeom>
                  </pic:spPr>
                </pic:pic>
              </a:graphicData>
            </a:graphic>
          </wp:inline>
        </w:drawing>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气象信息显示屏是向农村、学校、社区、车站、广场等人口密集区提供气象预警和专业气象服务的渠道之一。</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实时发布本地气象实况、天气预报、气象灾害预警与防御指引、农业气象预报与农事活动建议、科普知识等。</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获取途径：</w:t>
      </w:r>
      <w:r>
        <w:rPr>
          <w:rFonts w:hint="eastAsia" w:ascii="仿宋_GB2312" w:hAnsi="Times New Roman" w:eastAsia="宋体" w:cs="Times New Roman"/>
          <w:sz w:val="32"/>
          <w:szCs w:val="32"/>
          <w:lang w:val="en-US" w:eastAsia="zh-CN" w:bidi="zh-CN"/>
        </w:rPr>
        <w:t>气象部门在本地农村、学校、社区、车站、广场等人口密集区布设的气象信息显示屏。</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bookmarkStart w:id="47" w:name="（十）咨询电话"/>
      <w:bookmarkEnd w:id="47"/>
      <w:bookmarkStart w:id="48" w:name="（九）甚高频防灾气象警报系统"/>
      <w:bookmarkEnd w:id="48"/>
      <w:bookmarkStart w:id="49" w:name="_Toc16396_WPSOffice_Level2"/>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r>
        <w:rPr>
          <w:rFonts w:hint="eastAsia" w:ascii="宋体" w:hAnsi="宋体" w:eastAsia="宋体" w:cs="宋体"/>
          <w:b/>
          <w:bCs/>
          <w:sz w:val="32"/>
          <w:szCs w:val="32"/>
          <w:lang w:val="en-US" w:eastAsia="zh-CN" w:bidi="zh-CN"/>
        </w:rPr>
        <w:t>（九）村村通大喇叭</w:t>
      </w:r>
      <w:bookmarkEnd w:id="49"/>
    </w:p>
    <w:p>
      <w:pPr>
        <w:bidi w:val="0"/>
        <w:rPr>
          <w:rFonts w:hint="eastAsia"/>
          <w:lang w:val="en-US" w:eastAsia="zh-CN"/>
        </w:rPr>
      </w:pPr>
      <w:r>
        <w:rPr>
          <w:rFonts w:hint="eastAsia"/>
          <w:lang w:val="en-US" w:eastAsia="zh-CN"/>
        </w:rPr>
        <w:drawing>
          <wp:inline distT="0" distB="0" distL="114300" distR="114300">
            <wp:extent cx="5841365" cy="3268980"/>
            <wp:effectExtent l="0" t="0" r="6985" b="7620"/>
            <wp:docPr id="21" name="图片 21" descr="大喇叭"/>
            <wp:cNvGraphicFramePr/>
            <a:graphic xmlns:a="http://schemas.openxmlformats.org/drawingml/2006/main">
              <a:graphicData uri="http://schemas.openxmlformats.org/drawingml/2006/picture">
                <pic:pic xmlns:pic="http://schemas.openxmlformats.org/drawingml/2006/picture">
                  <pic:nvPicPr>
                    <pic:cNvPr id="21" name="图片 21" descr="大喇叭"/>
                    <pic:cNvPicPr/>
                  </pic:nvPicPr>
                  <pic:blipFill>
                    <a:blip r:embed="rId19"/>
                    <a:stretch>
                      <a:fillRect/>
                    </a:stretch>
                  </pic:blipFill>
                  <pic:spPr>
                    <a:xfrm>
                      <a:off x="0" y="0"/>
                      <a:ext cx="5841365" cy="3268980"/>
                    </a:xfrm>
                    <a:prstGeom prst="rect">
                      <a:avLst/>
                    </a:prstGeom>
                  </pic:spPr>
                </pic:pic>
              </a:graphicData>
            </a:graphic>
          </wp:inline>
        </w:drawing>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村村通大喇叭于2015年6月开播，具有通播、广播、点播功能。</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发布天气预报预警、防御指引及气象科普信息。</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获取途径：</w:t>
      </w:r>
      <w:r>
        <w:rPr>
          <w:rFonts w:hint="eastAsia" w:ascii="仿宋_GB2312" w:hAnsi="Times New Roman" w:eastAsia="宋体" w:cs="Times New Roman"/>
          <w:sz w:val="32"/>
          <w:szCs w:val="32"/>
          <w:lang w:val="en-US" w:eastAsia="zh-CN" w:bidi="zh-CN"/>
        </w:rPr>
        <w:t>气象部门在当地居委会或村委会布设的村村通大喇叭。</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spacing w:val="-1"/>
          <w:sz w:val="30"/>
          <w:szCs w:val="30"/>
          <w:lang w:val="en-US" w:eastAsia="zh-CN"/>
        </w:rPr>
        <w:sectPr>
          <w:footerReference r:id="rId6" w:type="default"/>
          <w:pgSz w:w="11910" w:h="16840"/>
          <w:pgMar w:top="1580" w:right="1020" w:bottom="1380" w:left="1680" w:header="0" w:footer="1196" w:gutter="0"/>
          <w:cols w:space="720" w:num="1"/>
        </w:sectPr>
      </w:pPr>
      <w:bookmarkStart w:id="50" w:name="_Toc21345_WPSOffice_Level2"/>
      <w:r>
        <w:rPr>
          <w:rFonts w:hint="eastAsia" w:ascii="宋体" w:hAnsi="宋体" w:eastAsia="宋体" w:cs="宋体"/>
          <w:b/>
          <w:bCs/>
          <w:sz w:val="32"/>
          <w:szCs w:val="32"/>
          <w:lang w:val="en-US" w:eastAsia="zh-CN" w:bidi="zh-CN"/>
        </w:rPr>
        <w:t>（十）气象频道</w:t>
      </w:r>
      <w:bookmarkEnd w:id="50"/>
      <w:bookmarkStart w:id="57" w:name="_GoBack"/>
      <w:bookmarkEnd w:id="57"/>
      <w:r>
        <w:rPr>
          <w:rFonts w:hint="eastAsia"/>
          <w:spacing w:val="-1"/>
          <w:lang w:val="en-US" w:eastAsia="zh-CN"/>
        </w:rPr>
        <w:drawing>
          <wp:inline distT="0" distB="0" distL="114300" distR="114300">
            <wp:extent cx="5634990" cy="3184525"/>
            <wp:effectExtent l="0" t="0" r="3810" b="15875"/>
            <wp:docPr id="22" name="图片 22" descr="QQ截图2020032013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320132132"/>
                    <pic:cNvPicPr>
                      <a:picLocks noChangeAspect="1"/>
                    </pic:cNvPicPr>
                  </pic:nvPicPr>
                  <pic:blipFill>
                    <a:blip r:embed="rId20"/>
                    <a:stretch>
                      <a:fillRect/>
                    </a:stretch>
                  </pic:blipFill>
                  <pic:spPr>
                    <a:xfrm>
                      <a:off x="0" y="0"/>
                      <a:ext cx="5634990" cy="3184525"/>
                    </a:xfrm>
                    <a:prstGeom prst="rect">
                      <a:avLst/>
                    </a:prstGeom>
                  </pic:spPr>
                </pic:pic>
              </a:graphicData>
            </a:graphic>
          </wp:inline>
        </w:drawing>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bookmarkStart w:id="51" w:name="（八）显示屏"/>
      <w:bookmarkEnd w:id="51"/>
      <w:bookmarkStart w:id="52" w:name="（六）广播电台"/>
      <w:bookmarkEnd w:id="52"/>
      <w:bookmarkStart w:id="53" w:name="（四）订制天气短信"/>
      <w:bookmarkEnd w:id="53"/>
      <w:r>
        <w:rPr>
          <w:rFonts w:hint="eastAsia" w:ascii="仿宋_GB2312" w:hAnsi="Times New Roman" w:eastAsia="宋体" w:cs="Times New Roman"/>
          <w:sz w:val="32"/>
          <w:szCs w:val="32"/>
          <w:lang w:val="en-US" w:eastAsia="zh-CN" w:bidi="zh-CN"/>
        </w:rPr>
        <w:t>广东应急气象频道于2011年7月开播，依托中国气象频道发布我省突发事件预警信息和气象科普知识。</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 xml:space="preserve">提供天气实况、天气预报、农业气象、生活 指数及科普知识，跟踪发布重大灾害天气动态。 </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获取途径：</w:t>
      </w:r>
      <w:r>
        <w:rPr>
          <w:rFonts w:hint="eastAsia" w:ascii="仿宋_GB2312" w:hAnsi="Times New Roman" w:eastAsia="宋体" w:cs="Times New Roman"/>
          <w:sz w:val="32"/>
          <w:szCs w:val="32"/>
          <w:lang w:val="en-US" w:eastAsia="zh-CN" w:bidi="zh-CN"/>
        </w:rPr>
        <w:t xml:space="preserve">当地有线电视网“中国气象频道”或网址：http://www.weathertv.cn/live/ </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119" w:firstLine="643" w:firstLineChars="200"/>
        <w:textAlignment w:val="auto"/>
        <w:rPr>
          <w:rFonts w:hint="eastAsia" w:ascii="宋体" w:hAnsi="宋体" w:eastAsia="宋体" w:cs="宋体"/>
          <w:b/>
          <w:bCs/>
          <w:sz w:val="32"/>
          <w:szCs w:val="32"/>
          <w:lang w:val="en-US" w:eastAsia="zh-CN" w:bidi="zh-CN"/>
        </w:rPr>
      </w:pPr>
      <w:bookmarkStart w:id="54" w:name="_Toc31910_WPSOffice_Level2"/>
      <w:r>
        <w:rPr>
          <w:rFonts w:hint="eastAsia" w:ascii="宋体" w:hAnsi="宋体" w:eastAsia="宋体" w:cs="宋体"/>
          <w:b/>
          <w:bCs/>
          <w:sz w:val="32"/>
          <w:szCs w:val="32"/>
          <w:lang w:val="en-US" w:eastAsia="zh-CN" w:bidi="zh-CN"/>
        </w:rPr>
        <w:t>（十一）气象政务服务</w:t>
      </w:r>
      <w:bookmarkEnd w:id="54"/>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遂溪县气象局政务服务主要包括行政审批和社会服务事项，公众可通过窗口和网上办事大厅办理。</w:t>
      </w:r>
    </w:p>
    <w:p>
      <w:pPr>
        <w:pStyle w:val="5"/>
        <w:spacing w:line="316" w:lineRule="auto"/>
        <w:ind w:left="120" w:right="619" w:firstLine="640"/>
        <w:jc w:val="both"/>
        <w:rPr>
          <w:rFonts w:hint="eastAsia" w:ascii="仿宋_GB2312" w:hAnsi="Times New Roman" w:eastAsia="宋体" w:cs="Times New Roman"/>
          <w:b/>
          <w:bCs/>
          <w:sz w:val="32"/>
          <w:szCs w:val="32"/>
          <w:lang w:val="en-US" w:eastAsia="zh-CN" w:bidi="zh-CN"/>
        </w:rPr>
      </w:pPr>
      <w:bookmarkStart w:id="55" w:name="_Toc22159_WPSOffice_Level3"/>
      <w:r>
        <w:rPr>
          <w:rFonts w:hint="eastAsia" w:ascii="仿宋_GB2312" w:hAnsi="Times New Roman" w:eastAsia="宋体" w:cs="Times New Roman"/>
          <w:b/>
          <w:bCs/>
          <w:sz w:val="32"/>
          <w:szCs w:val="32"/>
          <w:lang w:val="en-US" w:eastAsia="zh-CN" w:bidi="zh-CN"/>
        </w:rPr>
        <w:t>1.防雷装置设计审核和竣工验收</w:t>
      </w:r>
      <w:bookmarkEnd w:id="55"/>
      <w:r>
        <w:rPr>
          <w:rFonts w:hint="eastAsia" w:ascii="仿宋_GB2312" w:hAnsi="Times New Roman" w:eastAsia="宋体" w:cs="Times New Roman"/>
          <w:b/>
          <w:bCs/>
          <w:sz w:val="32"/>
          <w:szCs w:val="32"/>
          <w:lang w:val="en-US" w:eastAsia="zh-CN" w:bidi="zh-CN"/>
        </w:rPr>
        <w:t xml:space="preserve"> </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 xml:space="preserve">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的设计审核和竣工验收。 </w:t>
      </w:r>
    </w:p>
    <w:p>
      <w:pPr>
        <w:pStyle w:val="5"/>
        <w:spacing w:line="316" w:lineRule="auto"/>
        <w:ind w:left="120" w:right="619" w:firstLine="640"/>
        <w:jc w:val="both"/>
        <w:rPr>
          <w:rFonts w:hint="eastAsia" w:ascii="仿宋_GB2312" w:hAnsi="Times New Roman" w:eastAsia="宋体" w:cs="Times New Roman"/>
          <w:b/>
          <w:bCs/>
          <w:sz w:val="32"/>
          <w:szCs w:val="32"/>
          <w:lang w:val="en-US" w:eastAsia="zh-CN" w:bidi="zh-CN"/>
        </w:rPr>
      </w:pPr>
      <w:bookmarkStart w:id="56" w:name="_Toc1384_WPSOffice_Level3"/>
      <w:r>
        <w:rPr>
          <w:rFonts w:hint="eastAsia" w:ascii="仿宋_GB2312" w:hAnsi="Times New Roman" w:eastAsia="宋体" w:cs="Times New Roman"/>
          <w:b/>
          <w:bCs/>
          <w:sz w:val="32"/>
          <w:szCs w:val="32"/>
          <w:lang w:val="en-US" w:eastAsia="zh-CN" w:bidi="zh-CN"/>
        </w:rPr>
        <w:t>2.升放无人驾驶自由气球、系留气球活动及单位资质认定</w:t>
      </w:r>
      <w:bookmarkEnd w:id="56"/>
      <w:r>
        <w:rPr>
          <w:rFonts w:hint="eastAsia" w:ascii="仿宋_GB2312" w:hAnsi="Times New Roman" w:eastAsia="宋体" w:cs="Times New Roman"/>
          <w:b/>
          <w:bCs/>
          <w:sz w:val="32"/>
          <w:szCs w:val="32"/>
          <w:lang w:val="en-US" w:eastAsia="zh-CN" w:bidi="zh-CN"/>
        </w:rPr>
        <w:t xml:space="preserve"> </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b/>
          <w:bCs/>
          <w:sz w:val="32"/>
          <w:szCs w:val="32"/>
          <w:lang w:val="en-US" w:eastAsia="zh-CN" w:bidi="zh-CN"/>
        </w:rPr>
        <w:t>服务内容：</w:t>
      </w:r>
      <w:r>
        <w:rPr>
          <w:rFonts w:hint="eastAsia" w:ascii="仿宋_GB2312" w:hAnsi="Times New Roman" w:eastAsia="宋体" w:cs="Times New Roman"/>
          <w:sz w:val="32"/>
          <w:szCs w:val="32"/>
          <w:lang w:val="en-US" w:eastAsia="zh-CN" w:bidi="zh-CN"/>
        </w:rPr>
        <w:t xml:space="preserve">升放无人驾驶自由气球、系留气球活动进行审批，升放无人驾驶自由气球、系留气球活动单位资质认定。 </w:t>
      </w:r>
    </w:p>
    <w:p>
      <w:pPr>
        <w:pStyle w:val="5"/>
        <w:spacing w:line="316" w:lineRule="auto"/>
        <w:ind w:left="120" w:right="619" w:firstLine="640"/>
        <w:jc w:val="both"/>
        <w:rPr>
          <w:rFonts w:hint="eastAsia" w:ascii="仿宋_GB2312" w:hAnsi="Times New Roman" w:eastAsia="宋体" w:cs="Times New Roman"/>
          <w:b/>
          <w:bCs/>
          <w:sz w:val="32"/>
          <w:szCs w:val="32"/>
          <w:lang w:val="en-US" w:eastAsia="zh-CN" w:bidi="zh-CN"/>
        </w:rPr>
      </w:pPr>
      <w:r>
        <w:rPr>
          <w:rFonts w:hint="eastAsia" w:ascii="仿宋_GB2312" w:hAnsi="Times New Roman" w:eastAsia="宋体" w:cs="Times New Roman"/>
          <w:b/>
          <w:bCs/>
          <w:sz w:val="32"/>
          <w:szCs w:val="32"/>
          <w:lang w:val="en-US" w:eastAsia="zh-CN" w:bidi="zh-CN"/>
        </w:rPr>
        <w:t>政务获取途径：</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广东政务服务网遂溪县气象局网上服务窗口</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fldChar w:fldCharType="begin"/>
      </w:r>
      <w:r>
        <w:rPr>
          <w:rFonts w:hint="eastAsia" w:ascii="仿宋_GB2312" w:hAnsi="Times New Roman" w:eastAsia="宋体" w:cs="Times New Roman"/>
          <w:sz w:val="32"/>
          <w:szCs w:val="32"/>
          <w:lang w:val="en-US" w:eastAsia="zh-CN" w:bidi="zh-CN"/>
        </w:rPr>
        <w:instrText xml:space="preserve"> HYPERLINK "http://www.gdzwfw.gov.cn/portal/branch-hall?orgCode=456284654；" </w:instrText>
      </w:r>
      <w:r>
        <w:rPr>
          <w:rFonts w:hint="eastAsia" w:ascii="仿宋_GB2312" w:hAnsi="Times New Roman" w:eastAsia="宋体" w:cs="Times New Roman"/>
          <w:sz w:val="32"/>
          <w:szCs w:val="32"/>
          <w:lang w:val="en-US" w:eastAsia="zh-CN" w:bidi="zh-CN"/>
        </w:rPr>
        <w:fldChar w:fldCharType="separate"/>
      </w:r>
      <w:r>
        <w:rPr>
          <w:rFonts w:hint="eastAsia" w:ascii="仿宋_GB2312" w:hAnsi="Times New Roman" w:eastAsia="宋体" w:cs="Times New Roman"/>
          <w:sz w:val="32"/>
          <w:szCs w:val="32"/>
          <w:lang w:val="en-US" w:eastAsia="zh-CN" w:bidi="zh-CN"/>
        </w:rPr>
        <w:t>http://www.gdzwfw.gov.cn/portal/branch-hall?orgCode=456284654</w:t>
      </w:r>
      <w:r>
        <w:rPr>
          <w:rFonts w:hint="eastAsia" w:ascii="仿宋_GB2312" w:hAnsi="Times New Roman" w:eastAsia="宋体" w:cs="Times New Roman"/>
          <w:sz w:val="32"/>
          <w:szCs w:val="32"/>
          <w:lang w:val="en-US" w:eastAsia="zh-CN" w:bidi="zh-CN"/>
        </w:rPr>
        <w:fldChar w:fldCharType="end"/>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 xml:space="preserve">县行政服务中心，地址：遂溪县遂城镇遂海路168号县行政服务中心气象局窗口，电话：0759-7788557。 </w:t>
      </w:r>
    </w:p>
    <w:p>
      <w:pPr>
        <w:pStyle w:val="5"/>
        <w:spacing w:line="316" w:lineRule="auto"/>
        <w:ind w:left="120" w:right="619" w:firstLine="640"/>
        <w:jc w:val="both"/>
        <w:rPr>
          <w:rFonts w:hint="eastAsia" w:ascii="仿宋_GB2312" w:hAnsi="Times New Roman" w:eastAsia="宋体" w:cs="Times New Roman"/>
          <w:sz w:val="32"/>
          <w:szCs w:val="32"/>
          <w:lang w:val="en-US" w:eastAsia="zh-CN" w:bidi="zh-CN"/>
        </w:rPr>
      </w:pPr>
      <w:r>
        <w:rPr>
          <w:rFonts w:hint="eastAsia" w:ascii="仿宋_GB2312" w:hAnsi="Times New Roman" w:eastAsia="宋体" w:cs="Times New Roman"/>
          <w:sz w:val="32"/>
          <w:szCs w:val="32"/>
          <w:lang w:val="en-US" w:eastAsia="zh-CN" w:bidi="zh-CN"/>
        </w:rPr>
        <w:t>县气象局，地址：遂溪县遂城镇灵村仔村遂溪县气象局，电话：0759-7787102。</w:t>
      </w:r>
    </w:p>
    <w:p>
      <w:pPr>
        <w:spacing w:before="36" w:line="254" w:lineRule="auto"/>
        <w:ind w:right="2648"/>
        <w:jc w:val="left"/>
        <w:rPr>
          <w:sz w:val="32"/>
        </w:rPr>
      </w:pPr>
      <w:r>
        <w:drawing>
          <wp:inline distT="0" distB="0" distL="114300" distR="114300">
            <wp:extent cx="5833745" cy="3281680"/>
            <wp:effectExtent l="12700" t="12700" r="20955" b="203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833745" cy="3281680"/>
                    </a:xfrm>
                    <a:prstGeom prst="rect">
                      <a:avLst/>
                    </a:prstGeom>
                    <a:noFill/>
                    <a:ln w="12700" cmpd="sng">
                      <a:solidFill>
                        <a:schemeClr val="accent1">
                          <a:shade val="50000"/>
                        </a:schemeClr>
                      </a:solidFill>
                      <a:prstDash val="solid"/>
                    </a:ln>
                  </pic:spPr>
                </pic:pic>
              </a:graphicData>
            </a:graphic>
          </wp:inline>
        </w:drawing>
      </w:r>
    </w:p>
    <w:sectPr>
      <w:pgSz w:w="11910" w:h="16840"/>
      <w:pgMar w:top="1500" w:right="1020" w:bottom="1380" w:left="1680" w:header="0" w:footer="119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9"/>
      </w:rPr>
    </w:pPr>
    <w:r>
      <mc:AlternateContent>
        <mc:Choice Requires="wps">
          <w:drawing>
            <wp:anchor distT="0" distB="0" distL="114300" distR="114300" simplePos="0" relativeHeight="251659264" behindDoc="1" locked="0" layoutInCell="1" allowOverlap="1">
              <wp:simplePos x="0" y="0"/>
              <wp:positionH relativeFrom="page">
                <wp:posOffset>3724910</wp:posOffset>
              </wp:positionH>
              <wp:positionV relativeFrom="page">
                <wp:posOffset>9792970</wp:posOffset>
              </wp:positionV>
              <wp:extent cx="109220" cy="1397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w:t>
                          </w:r>
                          <w:r>
                            <w:fldChar w:fldCharType="end"/>
                          </w:r>
                        </w:p>
                      </w:txbxContent>
                    </wps:txbx>
                    <wps:bodyPr lIns="0" tIns="0" rIns="0" bIns="0" upright="1"/>
                  </wps:wsp>
                </a:graphicData>
              </a:graphic>
            </wp:anchor>
          </w:drawing>
        </mc:Choice>
        <mc:Fallback>
          <w:pict>
            <v:shape id="文本框 1025" o:spid="_x0000_s1026" o:spt="202" type="#_x0000_t202" style="position:absolute;left:0pt;margin-left:293.3pt;margin-top:771.1pt;height:11pt;width:8.6pt;mso-position-horizontal-relative:page;mso-position-vertical-relative:page;z-index:-251657216;mso-width-relative:page;mso-height-relative:page;" filled="f" stroked="f" coordsize="21600,21600" o:gfxdata="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DW3+2gAAAA0BAAAPAAAAAAAAAAEAIAAAACIAAABkcnMvZG93bnJldi54bWxQ&#10;SwECFAAUAAAACACHTuJAH2UUuLwBAAB0AwAADgAAAAAAAAABACAAAAApAQAAZHJzL2Uyb0RvYy54&#10;bWxQSwUGAAAAAAYABgBZAQAAVw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3695700</wp:posOffset>
              </wp:positionH>
              <wp:positionV relativeFrom="page">
                <wp:posOffset>9792970</wp:posOffset>
              </wp:positionV>
              <wp:extent cx="167005" cy="1397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026" o:spid="_x0000_s1026" o:spt="202" type="#_x0000_t202" style="position:absolute;left:0pt;margin-left:291pt;margin-top:771.1pt;height:11pt;width:13.15pt;mso-position-horizontal-relative:page;mso-position-vertical-relative:page;z-index:-251656192;mso-width-relative:page;mso-height-relative:page;" filled="f" stroked="f" coordsize="21600,21600" o:gfxdata="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kQ5VNoAAAANAQAADwAAAAAAAAABACAAAAAiAAAAZHJzL2Rvd25yZXYueG1sUEsB&#10;AhQAFAAAAAgAh07iQLMIg/e6AQAAdAMAAA4AAAAAAAAAAQAgAAAAKQ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720"/>
  <w:drawingGridHorizontalSpacing w:val="110"/>
  <w:displayHorizontalDrawingGridEvery w:val="0"/>
  <w:displayVerticalDrawingGridEvery w:val="2"/>
  <w:characterSpacingControl w:val="doNotCompress"/>
  <w:hdrShapeDefaults>
    <o:shapelayout v:ext="edit">
      <o:idmap v:ext="edit" data="3,4"/>
    </o:shapelayout>
  </w:hdrShapeDefaults>
  <w:footnotePr>
    <w:footnote w:id="0"/>
    <w:footnote w:id="1"/>
  </w:footnotePr>
  <w:endnotePr>
    <w:endnote w:id="0"/>
    <w:endnote w:id="1"/>
  </w:endnotePr>
  <w:compat>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3NTA1MzViMTBmODc0ZGFkYWMwOWFhNmU3ODEwMDkifQ=="/>
  </w:docVars>
  <w:rsids>
    <w:rsidRoot w:val="00172A27"/>
    <w:rsid w:val="02FE303F"/>
    <w:rsid w:val="04F940BD"/>
    <w:rsid w:val="0D7B0353"/>
    <w:rsid w:val="11011ABB"/>
    <w:rsid w:val="138670CA"/>
    <w:rsid w:val="16C84DC2"/>
    <w:rsid w:val="18002689"/>
    <w:rsid w:val="18E513A4"/>
    <w:rsid w:val="192A6A43"/>
    <w:rsid w:val="1E220C6B"/>
    <w:rsid w:val="28697F14"/>
    <w:rsid w:val="29256903"/>
    <w:rsid w:val="2BD041EC"/>
    <w:rsid w:val="2E021B55"/>
    <w:rsid w:val="30203318"/>
    <w:rsid w:val="35E76FF7"/>
    <w:rsid w:val="368B37B0"/>
    <w:rsid w:val="3926472A"/>
    <w:rsid w:val="39A150F8"/>
    <w:rsid w:val="3A8A5298"/>
    <w:rsid w:val="3B925A4B"/>
    <w:rsid w:val="400D453C"/>
    <w:rsid w:val="428B3AD2"/>
    <w:rsid w:val="433A1882"/>
    <w:rsid w:val="445B7619"/>
    <w:rsid w:val="467613B2"/>
    <w:rsid w:val="4D9804F6"/>
    <w:rsid w:val="4DBA17DC"/>
    <w:rsid w:val="4DC15320"/>
    <w:rsid w:val="4FF263FB"/>
    <w:rsid w:val="51E87696"/>
    <w:rsid w:val="52CF540E"/>
    <w:rsid w:val="534D53EF"/>
    <w:rsid w:val="536034E2"/>
    <w:rsid w:val="53DD1FA3"/>
    <w:rsid w:val="55956608"/>
    <w:rsid w:val="56BA3A01"/>
    <w:rsid w:val="58A81A34"/>
    <w:rsid w:val="596A1111"/>
    <w:rsid w:val="59D162C0"/>
    <w:rsid w:val="5CE11D6E"/>
    <w:rsid w:val="5E6B0C91"/>
    <w:rsid w:val="5F8C3934"/>
    <w:rsid w:val="635A3E93"/>
    <w:rsid w:val="66E70059"/>
    <w:rsid w:val="6C5D0B76"/>
    <w:rsid w:val="6DB43151"/>
    <w:rsid w:val="6DC92D5C"/>
    <w:rsid w:val="6DF63ABD"/>
    <w:rsid w:val="6EA16045"/>
    <w:rsid w:val="6FA840E8"/>
    <w:rsid w:val="710F1020"/>
    <w:rsid w:val="716C3397"/>
    <w:rsid w:val="74EA07AD"/>
    <w:rsid w:val="78916FE0"/>
    <w:rsid w:val="78EB34CD"/>
    <w:rsid w:val="7A881AE0"/>
    <w:rsid w:val="7B33674C"/>
    <w:rsid w:val="7EA749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1"/>
      <w:ind w:left="120"/>
      <w:outlineLvl w:val="1"/>
    </w:pPr>
    <w:rPr>
      <w:rFonts w:ascii="Microsoft JhengHei" w:hAnsi="Microsoft JhengHei" w:eastAsia="Microsoft JhengHei" w:cs="Microsoft JhengHei"/>
      <w:b/>
      <w:bCs/>
      <w:sz w:val="36"/>
      <w:szCs w:val="36"/>
      <w:lang w:val="zh-CN" w:eastAsia="zh-CN" w:bidi="zh-CN"/>
    </w:rPr>
  </w:style>
  <w:style w:type="paragraph" w:styleId="3">
    <w:name w:val="heading 2"/>
    <w:basedOn w:val="1"/>
    <w:next w:val="1"/>
    <w:link w:val="16"/>
    <w:qFormat/>
    <w:uiPriority w:val="1"/>
    <w:pPr>
      <w:ind w:left="120"/>
      <w:outlineLvl w:val="2"/>
    </w:pPr>
    <w:rPr>
      <w:rFonts w:ascii="宋体" w:hAnsi="宋体" w:eastAsia="宋体" w:cs="宋体"/>
      <w:sz w:val="36"/>
      <w:szCs w:val="36"/>
      <w:lang w:val="zh-CN" w:eastAsia="zh-CN" w:bidi="zh-CN"/>
    </w:rPr>
  </w:style>
  <w:style w:type="paragraph" w:styleId="4">
    <w:name w:val="heading 3"/>
    <w:basedOn w:val="1"/>
    <w:next w:val="1"/>
    <w:link w:val="17"/>
    <w:qFormat/>
    <w:uiPriority w:val="1"/>
    <w:pPr>
      <w:ind w:left="120"/>
      <w:outlineLvl w:val="3"/>
    </w:pPr>
    <w:rPr>
      <w:rFonts w:ascii="Microsoft JhengHei" w:hAnsi="Microsoft JhengHei" w:eastAsia="Microsoft JhengHei" w:cs="Microsoft JhengHei"/>
      <w:b/>
      <w:bCs/>
      <w:sz w:val="32"/>
      <w:szCs w:val="32"/>
      <w:lang w:val="zh-CN" w:eastAsia="zh-CN" w:bidi="zh-CN"/>
    </w:rPr>
  </w:style>
  <w:style w:type="character" w:default="1" w:styleId="11">
    <w:name w:val="Default Paragraph Font"/>
    <w:semiHidden/>
    <w:unhideWhenUsed/>
    <w:qFormat/>
    <w:uiPriority w:val="1"/>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5">
    <w:name w:val="Body Text"/>
    <w:basedOn w:val="1"/>
    <w:link w:val="21"/>
    <w:qFormat/>
    <w:uiPriority w:val="1"/>
    <w:rPr>
      <w:rFonts w:ascii="宋体" w:hAnsi="宋体" w:eastAsia="宋体" w:cs="宋体"/>
      <w:sz w:val="32"/>
      <w:szCs w:val="32"/>
      <w:lang w:val="zh-CN" w:eastAsia="zh-CN" w:bidi="zh-CN"/>
    </w:rPr>
  </w:style>
  <w:style w:type="paragraph" w:styleId="6">
    <w:name w:val="toc 3"/>
    <w:basedOn w:val="1"/>
    <w:next w:val="1"/>
    <w:qFormat/>
    <w:uiPriority w:val="1"/>
    <w:pPr>
      <w:spacing w:before="72"/>
      <w:ind w:left="540"/>
    </w:pPr>
    <w:rPr>
      <w:rFonts w:ascii="Microsoft JhengHei" w:hAnsi="Microsoft JhengHei" w:eastAsia="Microsoft JhengHei" w:cs="Microsoft JhengHei"/>
      <w:b/>
      <w:bCs/>
      <w:sz w:val="30"/>
      <w:szCs w:val="30"/>
      <w:lang w:val="zh-CN" w:eastAsia="zh-CN" w:bidi="zh-CN"/>
    </w:rPr>
  </w:style>
  <w:style w:type="paragraph" w:styleId="7">
    <w:name w:val="toc 1"/>
    <w:basedOn w:val="1"/>
    <w:next w:val="1"/>
    <w:qFormat/>
    <w:uiPriority w:val="1"/>
    <w:pPr>
      <w:spacing w:before="72"/>
      <w:ind w:right="788"/>
      <w:jc w:val="right"/>
    </w:pPr>
    <w:rPr>
      <w:rFonts w:ascii="Microsoft JhengHei" w:hAnsi="Microsoft JhengHei" w:eastAsia="Microsoft JhengHei" w:cs="Microsoft JhengHei"/>
      <w:b/>
      <w:bCs/>
      <w:sz w:val="30"/>
      <w:szCs w:val="30"/>
      <w:lang w:val="zh-CN" w:eastAsia="zh-CN" w:bidi="zh-CN"/>
    </w:rPr>
  </w:style>
  <w:style w:type="paragraph" w:styleId="8">
    <w:name w:val="toc 2"/>
    <w:basedOn w:val="1"/>
    <w:next w:val="1"/>
    <w:qFormat/>
    <w:uiPriority w:val="1"/>
    <w:pPr>
      <w:spacing w:before="18"/>
      <w:ind w:right="788"/>
      <w:jc w:val="right"/>
    </w:pPr>
    <w:rPr>
      <w:rFonts w:ascii="Microsoft JhengHei" w:hAnsi="Microsoft JhengHei" w:eastAsia="Microsoft JhengHei" w:cs="Microsoft JhengHei"/>
      <w:b/>
      <w:bCs/>
      <w:sz w:val="28"/>
      <w:szCs w:val="28"/>
      <w:lang w:val="zh-CN" w:eastAsia="zh-CN" w:bidi="zh-CN"/>
    </w:rPr>
  </w:style>
  <w:style w:type="paragraph" w:styleId="9">
    <w:name w:val="Normal (Web)"/>
    <w:basedOn w:val="1"/>
    <w:qFormat/>
    <w:uiPriority w:val="0"/>
    <w:rPr>
      <w:sz w:val="24"/>
    </w:rPr>
  </w:style>
  <w:style w:type="character" w:styleId="12">
    <w:name w:val="Hyperlink"/>
    <w:basedOn w:val="11"/>
    <w:qFormat/>
    <w:uiPriority w:val="0"/>
    <w:rPr>
      <w:color w:val="0000FF"/>
      <w:u w:val="single"/>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780" w:hanging="327"/>
    </w:pPr>
    <w:rPr>
      <w:rFonts w:ascii="宋体" w:hAnsi="宋体" w:eastAsia="宋体" w:cs="宋体"/>
      <w:lang w:val="zh-CN" w:eastAsia="zh-CN" w:bidi="zh-CN"/>
    </w:rPr>
  </w:style>
  <w:style w:type="paragraph" w:customStyle="1" w:styleId="15">
    <w:name w:val="Table Paragraph"/>
    <w:basedOn w:val="1"/>
    <w:qFormat/>
    <w:uiPriority w:val="1"/>
    <w:rPr>
      <w:lang w:val="zh-CN" w:eastAsia="zh-CN" w:bidi="zh-CN"/>
    </w:rPr>
  </w:style>
  <w:style w:type="character" w:customStyle="1" w:styleId="16">
    <w:name w:val="标题 2 Char"/>
    <w:basedOn w:val="11"/>
    <w:link w:val="3"/>
    <w:qFormat/>
    <w:uiPriority w:val="0"/>
    <w:rPr>
      <w:rFonts w:hint="eastAsia" w:ascii="楷体" w:hAnsi="楷体" w:eastAsia="楷体" w:cs="楷体"/>
      <w:b/>
      <w:sz w:val="32"/>
    </w:rPr>
  </w:style>
  <w:style w:type="character" w:customStyle="1" w:styleId="17">
    <w:name w:val="标题 3 Char"/>
    <w:basedOn w:val="11"/>
    <w:link w:val="4"/>
    <w:qFormat/>
    <w:uiPriority w:val="0"/>
    <w:rPr>
      <w:rFonts w:hint="default" w:ascii="Calibri" w:hAnsi="Calibri" w:cs="黑体"/>
      <w:b/>
      <w:kern w:val="2"/>
      <w:sz w:val="32"/>
      <w:szCs w:val="32"/>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 w:type="character" w:customStyle="1" w:styleId="21">
    <w:name w:val="正文文本 Char"/>
    <w:basedOn w:val="11"/>
    <w:link w:val="5"/>
    <w:qFormat/>
    <w:uiPriority w:val="0"/>
    <w:rPr>
      <w:rFonts w:hint="eastAsia" w:ascii="宋体" w:hAnsi="宋体" w:eastAsia="宋体" w:cs="宋体"/>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24120;&#35268;&#39044;&#25253;&#25991;&#20214;\&#27668;&#20505;&#24433;&#21709;&#35780;&#20215;\202301\2022&#2418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4120;&#35268;&#39044;&#25253;&#25991;&#20214;\&#27668;&#20505;&#24433;&#21709;&#35780;&#20215;\202301\2022&#2418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200" b="0" i="0" u="none" strike="noStrike" baseline="0">
                <a:solidFill>
                  <a:srgbClr val="000000"/>
                </a:solidFill>
                <a:latin typeface="宋体" panose="02010600030101010101" charset="-122"/>
                <a:ea typeface="宋体" panose="02010600030101010101" charset="-122"/>
                <a:cs typeface="宋体" panose="02010600030101010101" charset="-122"/>
              </a:rPr>
              <a:t>202</a:t>
            </a:r>
            <a:r>
              <a:rPr lang="en-US" altLang="zh-CN" sz="1200" b="0" i="0" u="none" strike="noStrike" baseline="0">
                <a:solidFill>
                  <a:srgbClr val="000000"/>
                </a:solidFill>
                <a:latin typeface="宋体" panose="02010600030101010101" charset="-122"/>
                <a:ea typeface="宋体" panose="02010600030101010101" charset="-122"/>
                <a:cs typeface="宋体" panose="02010600030101010101" charset="-122"/>
              </a:rPr>
              <a:t>2</a:t>
            </a:r>
            <a:r>
              <a:rPr sz="1200" b="0" i="0" u="none" strike="noStrike" baseline="0">
                <a:solidFill>
                  <a:srgbClr val="000000"/>
                </a:solidFill>
                <a:latin typeface="宋体" panose="02010600030101010101" charset="-122"/>
                <a:ea typeface="宋体" panose="02010600030101010101" charset="-122"/>
                <a:cs typeface="宋体" panose="02010600030101010101" charset="-122"/>
              </a:rPr>
              <a:t>年逐月平均气温与常年同期比较</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291705851256225"/>
          <c:y val="0.0354346239264471"/>
        </c:manualLayout>
      </c:layout>
      <c:overlay val="0"/>
      <c:spPr>
        <a:noFill/>
        <a:ln w="3175">
          <a:noFill/>
        </a:ln>
      </c:spPr>
    </c:title>
    <c:autoTitleDeleted val="0"/>
    <c:plotArea>
      <c:layout>
        <c:manualLayout>
          <c:layoutTarget val="inner"/>
          <c:xMode val="edge"/>
          <c:yMode val="edge"/>
          <c:x val="0.121825726141079"/>
          <c:y val="0.237580437580438"/>
          <c:w val="0.656597510373444"/>
          <c:h val="0.502754182754183"/>
        </c:manualLayout>
      </c:layout>
      <c:lineChart>
        <c:grouping val="standard"/>
        <c:varyColors val="0"/>
        <c:ser>
          <c:idx val="0"/>
          <c:order val="0"/>
          <c:tx>
            <c:strRef>
              <c:f>"2022年"</c:f>
              <c:strCache>
                <c:ptCount val="1"/>
                <c:pt idx="0">
                  <c:v>2022年</c:v>
                </c:pt>
              </c:strCache>
            </c:strRef>
          </c:tx>
          <c:spPr>
            <a:ln w="12700" cap="rnd" cmpd="sng" algn="ctr">
              <a:solidFill>
                <a:srgbClr val="000080">
                  <a:alpha val="100000"/>
                </a:srgbClr>
              </a:solidFill>
              <a:prstDash val="solid"/>
              <a:round/>
            </a:ln>
          </c:spPr>
          <c:marker>
            <c:symbol val="diamond"/>
            <c:size val="5"/>
            <c:spPr>
              <a:solidFill>
                <a:srgbClr val="000080">
                  <a:alpha val="100000"/>
                </a:srgbClr>
              </a:solidFill>
              <a:ln w="9525" cap="flat" cmpd="sng" algn="ctr">
                <a:solidFill>
                  <a:srgbClr val="000080">
                    <a:alpha val="100000"/>
                  </a:srgbClr>
                </a:solidFill>
                <a:prstDash val="solid"/>
                <a:round/>
              </a:ln>
            </c:spPr>
          </c:marker>
          <c:dLbls>
            <c:delete val="1"/>
          </c:dLbls>
          <c:val>
            <c:numRef>
              <c:f>[2022年.xls]Sheet2!$B$2:$M$2</c:f>
              <c:numCache>
                <c:formatCode>General</c:formatCode>
                <c:ptCount val="12"/>
                <c:pt idx="0">
                  <c:v>17.4</c:v>
                </c:pt>
                <c:pt idx="1">
                  <c:v>14</c:v>
                </c:pt>
                <c:pt idx="2">
                  <c:v>22</c:v>
                </c:pt>
                <c:pt idx="3">
                  <c:v>23.1</c:v>
                </c:pt>
                <c:pt idx="4">
                  <c:v>25.3</c:v>
                </c:pt>
                <c:pt idx="5">
                  <c:v>28.8</c:v>
                </c:pt>
                <c:pt idx="6">
                  <c:v>29.3</c:v>
                </c:pt>
                <c:pt idx="7">
                  <c:v>28.2</c:v>
                </c:pt>
                <c:pt idx="8">
                  <c:v>27.8</c:v>
                </c:pt>
                <c:pt idx="9">
                  <c:v>24.7</c:v>
                </c:pt>
                <c:pt idx="10">
                  <c:v>23.6</c:v>
                </c:pt>
                <c:pt idx="11">
                  <c:v>14.9</c:v>
                </c:pt>
              </c:numCache>
            </c:numRef>
          </c:val>
          <c:smooth val="0"/>
        </c:ser>
        <c:ser>
          <c:idx val="1"/>
          <c:order val="1"/>
          <c:tx>
            <c:strRef>
              <c:f>"常年"</c:f>
              <c:strCache>
                <c:ptCount val="1"/>
                <c:pt idx="0">
                  <c:v>常年</c:v>
                </c:pt>
              </c:strCache>
            </c:strRef>
          </c:tx>
          <c:spPr>
            <a:ln w="12700" cap="rnd" cmpd="sng" algn="ctr">
              <a:solidFill>
                <a:srgbClr val="FF00FF">
                  <a:alpha val="100000"/>
                </a:srgbClr>
              </a:solidFill>
              <a:prstDash val="solid"/>
              <a:round/>
            </a:ln>
          </c:spPr>
          <c:marker>
            <c:symbol val="square"/>
            <c:size val="5"/>
            <c:spPr>
              <a:solidFill>
                <a:srgbClr val="FF00FF">
                  <a:alpha val="100000"/>
                </a:srgbClr>
              </a:solidFill>
              <a:ln w="9525" cap="flat" cmpd="sng" algn="ctr">
                <a:solidFill>
                  <a:srgbClr val="FF00FF">
                    <a:alpha val="100000"/>
                  </a:srgbClr>
                </a:solidFill>
                <a:prstDash val="solid"/>
                <a:round/>
              </a:ln>
            </c:spPr>
          </c:marker>
          <c:dLbls>
            <c:delete val="1"/>
          </c:dLbls>
          <c:val>
            <c:numRef>
              <c:f>[2022年.xls]Sheet2!$B$3:$M$3</c:f>
              <c:numCache>
                <c:formatCode>0.0_ </c:formatCode>
                <c:ptCount val="12"/>
                <c:pt idx="0">
                  <c:v>15.6</c:v>
                </c:pt>
                <c:pt idx="1">
                  <c:v>16.8</c:v>
                </c:pt>
                <c:pt idx="2">
                  <c:v>19.7</c:v>
                </c:pt>
                <c:pt idx="3">
                  <c:v>23.7</c:v>
                </c:pt>
                <c:pt idx="4">
                  <c:v>26.7</c:v>
                </c:pt>
                <c:pt idx="5">
                  <c:v>28.4</c:v>
                </c:pt>
                <c:pt idx="6">
                  <c:v>28.7</c:v>
                </c:pt>
                <c:pt idx="7">
                  <c:v>28.3</c:v>
                </c:pt>
                <c:pt idx="8">
                  <c:v>27.2</c:v>
                </c:pt>
                <c:pt idx="9">
                  <c:v>24.9</c:v>
                </c:pt>
                <c:pt idx="10">
                  <c:v>21.1</c:v>
                </c:pt>
                <c:pt idx="11">
                  <c:v>17.1</c:v>
                </c:pt>
              </c:numCache>
            </c:numRef>
          </c:val>
          <c:smooth val="0"/>
        </c:ser>
        <c:dLbls>
          <c:showLegendKey val="0"/>
          <c:showVal val="0"/>
          <c:showCatName val="0"/>
          <c:showSerName val="0"/>
          <c:showPercent val="0"/>
          <c:showBubbleSize val="0"/>
        </c:dLbls>
        <c:marker val="1"/>
        <c:smooth val="0"/>
        <c:axId val="345693018"/>
        <c:axId val="449134680"/>
      </c:lineChart>
      <c:catAx>
        <c:axId val="345693018"/>
        <c:scaling>
          <c:orientation val="minMax"/>
        </c:scaling>
        <c:delete val="0"/>
        <c:axPos val="b"/>
        <c:title>
          <c:tx>
            <c:rich>
              <a:bodyPr rot="0" spcFirstLastPara="0" vertOverflow="ellipsis" vert="horz" wrap="square" anchor="ctr" anchorCtr="1"/>
              <a:lstStyle/>
              <a:p>
                <a:pPr defTabSz="914400">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月份</a:t>
                </a:r>
                <a:endParaRPr sz="12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719212614999325"/>
              <c:y val="0.890089978872712"/>
            </c:manualLayout>
          </c:layout>
          <c:overlay val="0"/>
          <c:spPr>
            <a:noFill/>
            <a:ln w="3175">
              <a:noFill/>
            </a:ln>
          </c:spPr>
        </c:title>
        <c:majorTickMark val="in"/>
        <c:minorTickMark val="none"/>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449134680"/>
        <c:crosses val="autoZero"/>
        <c:auto val="1"/>
        <c:lblAlgn val="ctr"/>
        <c:lblOffset val="100"/>
        <c:tickLblSkip val="1"/>
        <c:noMultiLvlLbl val="0"/>
      </c:catAx>
      <c:valAx>
        <c:axId val="449134680"/>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100" b="0" i="0" u="none" strike="noStrike" kern="1200"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defRPr>
                </a:pPr>
                <a:r>
                  <a:rPr sz="1100" b="0" i="0" u="none" strike="noStrike" baseline="0">
                    <a:solidFill>
                      <a:srgbClr val="000000"/>
                    </a:solidFill>
                    <a:latin typeface="宋体" panose="02010600030101010101" charset="-122"/>
                    <a:ea typeface="宋体" panose="02010600030101010101" charset="-122"/>
                    <a:cs typeface="宋体" panose="02010600030101010101" charset="-122"/>
                  </a:rPr>
                  <a:t>气温（℃）</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00868158927130575"/>
              <c:y val="0.346471446986286"/>
            </c:manualLayout>
          </c:layout>
          <c:overlay val="0"/>
        </c:title>
        <c:numFmt formatCode="General" sourceLinked="1"/>
        <c:majorTickMark val="in"/>
        <c:minorTickMark val="none"/>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345693018"/>
        <c:crosses val="autoZero"/>
        <c:crossBetween val="between"/>
      </c:valAx>
      <c:spPr>
        <a:solidFill>
          <a:srgbClr val="FFFFFF">
            <a:alpha val="100000"/>
          </a:srgbClr>
        </a:solidFill>
        <a:ln w="12700">
          <a:solidFill>
            <a:srgbClr val="808080">
              <a:alpha val="100000"/>
            </a:srgbClr>
          </a:solidFill>
          <a:prstDash val="solid"/>
        </a:ln>
      </c:spPr>
    </c:plotArea>
    <c:legend>
      <c:legendPos val="r"/>
      <c:layout>
        <c:manualLayout>
          <c:xMode val="edge"/>
          <c:yMode val="edge"/>
          <c:x val="0.821991701244813"/>
          <c:y val="0.317117117117117"/>
          <c:w val="0.156569847856155"/>
          <c:h val="0.307850707850708"/>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78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200" b="0" i="0" u="none" strike="noStrike" baseline="0">
                <a:solidFill>
                  <a:srgbClr val="000000"/>
                </a:solidFill>
                <a:latin typeface="宋体" panose="02010600030101010101" charset="-122"/>
                <a:ea typeface="宋体" panose="02010600030101010101" charset="-122"/>
                <a:cs typeface="宋体" panose="02010600030101010101" charset="-122"/>
              </a:rPr>
              <a:t>202</a:t>
            </a:r>
            <a:r>
              <a:rPr lang="en-US" altLang="zh-CN" sz="1200" b="0" i="0" u="none" strike="noStrike" baseline="0">
                <a:solidFill>
                  <a:srgbClr val="000000"/>
                </a:solidFill>
                <a:latin typeface="宋体" panose="02010600030101010101" charset="-122"/>
                <a:ea typeface="宋体" panose="02010600030101010101" charset="-122"/>
                <a:cs typeface="宋体" panose="02010600030101010101" charset="-122"/>
              </a:rPr>
              <a:t>2</a:t>
            </a:r>
            <a:r>
              <a:rPr sz="1200" b="0" i="0" u="none" strike="noStrike" baseline="0">
                <a:solidFill>
                  <a:srgbClr val="000000"/>
                </a:solidFill>
                <a:latin typeface="宋体" panose="02010600030101010101" charset="-122"/>
                <a:ea typeface="宋体" panose="02010600030101010101" charset="-122"/>
                <a:cs typeface="宋体" panose="02010600030101010101" charset="-122"/>
              </a:rPr>
              <a:t>年逐月降水量与常年同期比较</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289086648259877"/>
          <c:y val="0.0919263998250219"/>
        </c:manualLayout>
      </c:layout>
      <c:overlay val="0"/>
    </c:title>
    <c:autoTitleDeleted val="0"/>
    <c:plotArea>
      <c:layout>
        <c:manualLayout>
          <c:layoutTarget val="inner"/>
          <c:xMode val="edge"/>
          <c:yMode val="edge"/>
          <c:x val="0.125868504163078"/>
          <c:y val="0.227298524404086"/>
          <c:w val="0.720671834625323"/>
          <c:h val="0.540635641316686"/>
        </c:manualLayout>
      </c:layout>
      <c:barChart>
        <c:barDir val="col"/>
        <c:grouping val="clustered"/>
        <c:varyColors val="0"/>
        <c:ser>
          <c:idx val="0"/>
          <c:order val="0"/>
          <c:tx>
            <c:strRef>
              <c:f>"2022年"</c:f>
              <c:strCache>
                <c:ptCount val="1"/>
                <c:pt idx="0">
                  <c:v>2022年</c:v>
                </c:pt>
              </c:strCache>
            </c:strRef>
          </c:tx>
          <c:spPr>
            <a:solidFill>
              <a:srgbClr val="9999FF">
                <a:alpha val="100000"/>
              </a:srgbClr>
            </a:solidFill>
            <a:ln w="12700">
              <a:solidFill>
                <a:srgbClr val="000000">
                  <a:alpha val="100000"/>
                </a:srgbClr>
              </a:solidFill>
              <a:prstDash val="solid"/>
            </a:ln>
          </c:spPr>
          <c:invertIfNegative val="0"/>
          <c:dLbls>
            <c:delete val="1"/>
          </c:dLbls>
          <c:val>
            <c:numRef>
              <c:f>[2022年.xls]Sheet1!$C$2:$N$2</c:f>
              <c:numCache>
                <c:formatCode>General</c:formatCode>
                <c:ptCount val="12"/>
                <c:pt idx="0">
                  <c:v>22.2</c:v>
                </c:pt>
                <c:pt idx="1">
                  <c:v>116.8</c:v>
                </c:pt>
                <c:pt idx="2">
                  <c:v>73.1</c:v>
                </c:pt>
                <c:pt idx="3">
                  <c:v>94</c:v>
                </c:pt>
                <c:pt idx="4">
                  <c:v>270.4</c:v>
                </c:pt>
                <c:pt idx="5">
                  <c:v>204.2</c:v>
                </c:pt>
                <c:pt idx="6">
                  <c:v>427.2</c:v>
                </c:pt>
                <c:pt idx="7">
                  <c:v>459.5</c:v>
                </c:pt>
                <c:pt idx="8">
                  <c:v>324.2</c:v>
                </c:pt>
                <c:pt idx="9">
                  <c:v>41.3</c:v>
                </c:pt>
                <c:pt idx="10">
                  <c:v>89</c:v>
                </c:pt>
                <c:pt idx="11">
                  <c:v>2.9</c:v>
                </c:pt>
              </c:numCache>
            </c:numRef>
          </c:val>
        </c:ser>
        <c:ser>
          <c:idx val="1"/>
          <c:order val="1"/>
          <c:tx>
            <c:strRef>
              <c:f>"常年"</c:f>
              <c:strCache>
                <c:ptCount val="1"/>
                <c:pt idx="0">
                  <c:v>常年</c:v>
                </c:pt>
              </c:strCache>
            </c:strRef>
          </c:tx>
          <c:spPr>
            <a:solidFill>
              <a:srgbClr val="FF00FF">
                <a:alpha val="100000"/>
              </a:srgbClr>
            </a:solidFill>
            <a:ln w="12700">
              <a:solidFill>
                <a:srgbClr val="000000">
                  <a:alpha val="100000"/>
                </a:srgbClr>
              </a:solidFill>
              <a:prstDash val="solid"/>
            </a:ln>
          </c:spPr>
          <c:invertIfNegative val="0"/>
          <c:dLbls>
            <c:delete val="1"/>
          </c:dLbls>
          <c:val>
            <c:numRef>
              <c:f>[2022年.xls]Sheet1!$C$3:$N$3</c:f>
              <c:numCache>
                <c:formatCode>0.0_ </c:formatCode>
                <c:ptCount val="12"/>
                <c:pt idx="0">
                  <c:v>24.4</c:v>
                </c:pt>
                <c:pt idx="1">
                  <c:v>43.4</c:v>
                </c:pt>
                <c:pt idx="2">
                  <c:v>59.6</c:v>
                </c:pt>
                <c:pt idx="3">
                  <c:v>123.7</c:v>
                </c:pt>
                <c:pt idx="4">
                  <c:v>235.8</c:v>
                </c:pt>
                <c:pt idx="5">
                  <c:v>271.6</c:v>
                </c:pt>
                <c:pt idx="6">
                  <c:v>293.3</c:v>
                </c:pt>
                <c:pt idx="7">
                  <c:v>300.9</c:v>
                </c:pt>
                <c:pt idx="8">
                  <c:v>213</c:v>
                </c:pt>
                <c:pt idx="9">
                  <c:v>97</c:v>
                </c:pt>
                <c:pt idx="10">
                  <c:v>33.2</c:v>
                </c:pt>
                <c:pt idx="11">
                  <c:v>27.2</c:v>
                </c:pt>
              </c:numCache>
            </c:numRef>
          </c:val>
        </c:ser>
        <c:dLbls>
          <c:showLegendKey val="0"/>
          <c:showVal val="0"/>
          <c:showCatName val="0"/>
          <c:showSerName val="0"/>
          <c:showPercent val="0"/>
          <c:showBubbleSize val="0"/>
        </c:dLbls>
        <c:gapWidth val="150"/>
        <c:overlap val="0"/>
        <c:axId val="68287434"/>
        <c:axId val="992612339"/>
      </c:barChart>
      <c:catAx>
        <c:axId val="68287434"/>
        <c:scaling>
          <c:orientation val="minMax"/>
        </c:scaling>
        <c:delete val="0"/>
        <c:axPos val="b"/>
        <c:title>
          <c:tx>
            <c:rich>
              <a:bodyPr rot="0" spcFirstLastPara="0" vertOverflow="ellipsis" vert="horz" wrap="square" anchor="ctr" anchorCtr="1"/>
              <a:lstStyle/>
              <a:p>
                <a:pPr defTabSz="914400">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月份</a:t>
                </a:r>
                <a:endParaRPr sz="12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852716024133347"/>
              <c:y val="0.859327837926509"/>
            </c:manualLayout>
          </c:layout>
          <c:overlay val="0"/>
          <c:spPr>
            <a:noFill/>
            <a:ln w="3175">
              <a:noFill/>
            </a:ln>
          </c:spPr>
        </c:title>
        <c:majorTickMark val="in"/>
        <c:minorTickMark val="none"/>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992612339"/>
        <c:crosses val="autoZero"/>
        <c:auto val="1"/>
        <c:lblAlgn val="ctr"/>
        <c:lblOffset val="100"/>
        <c:tickLblSkip val="1"/>
        <c:noMultiLvlLbl val="0"/>
      </c:catAx>
      <c:valAx>
        <c:axId val="992612339"/>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1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降水量（mm）</a:t>
                </a:r>
                <a:endParaRPr sz="11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00818352251423118"/>
              <c:y val="0.337850298009624"/>
            </c:manualLayout>
          </c:layout>
          <c:overlay val="0"/>
          <c:spPr>
            <a:noFill/>
            <a:ln w="3175">
              <a:noFill/>
            </a:ln>
          </c:spPr>
        </c:title>
        <c:numFmt formatCode="General" sourceLinked="1"/>
        <c:majorTickMark val="in"/>
        <c:minorTickMark val="none"/>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68287434"/>
        <c:crosses val="autoZero"/>
        <c:crossBetween val="between"/>
      </c:valAx>
      <c:spPr>
        <a:solidFill>
          <a:srgbClr val="FFFFFF">
            <a:alpha val="100000"/>
          </a:srgbClr>
        </a:solidFill>
        <a:ln w="12700">
          <a:solidFill>
            <a:srgbClr val="808080">
              <a:alpha val="100000"/>
            </a:srgbClr>
          </a:solidFill>
          <a:prstDash val="solid"/>
        </a:ln>
      </c:spPr>
    </c:plotArea>
    <c:legend>
      <c:legendPos val="r"/>
      <c:legendEntry>
        <c:idx val="0"/>
        <c:txPr>
          <a:bodyPr rot="0" spcFirstLastPara="0" vertOverflow="ellipsis" vert="horz" wrap="square" anchor="ctr" anchorCtr="1"/>
          <a:lstStyle/>
          <a:p>
            <a:pPr>
              <a:defRPr lang="zh-CN" sz="78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Entry>
      <c:layout>
        <c:manualLayout>
          <c:xMode val="edge"/>
          <c:yMode val="edge"/>
          <c:x val="0.866118349777916"/>
          <c:y val="0.408403018821022"/>
          <c:w val="0.11053016835721"/>
          <c:h val="0.130434782608696"/>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78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0f17f91-1587-44f3-986e-799570e8a386}"/>
        <w:style w:val=""/>
        <w:category>
          <w:name w:val="常规"/>
          <w:gallery w:val="placeholder"/>
        </w:category>
        <w:types>
          <w:type w:val="bbPlcHdr"/>
        </w:types>
        <w:behaviors>
          <w:behavior w:val="content"/>
        </w:behaviors>
        <w:description w:val=""/>
        <w:guid w:val="{a0f17f91-1587-44f3-986e-799570e8a386}"/>
      </w:docPartPr>
      <w:docPartBody>
        <w:p>
          <w:r>
            <w:rPr>
              <w:color w:val="808080"/>
            </w:rPr>
            <w:t>单击此处输入文字。</w:t>
          </w:r>
        </w:p>
      </w:docPartBody>
    </w:docPart>
    <w:docPart>
      <w:docPartPr>
        <w:name w:val="{d67ece0c-6f1d-44c1-b453-17320c0b1733}"/>
        <w:style w:val=""/>
        <w:category>
          <w:name w:val="常规"/>
          <w:gallery w:val="placeholder"/>
        </w:category>
        <w:types>
          <w:type w:val="bbPlcHdr"/>
        </w:types>
        <w:behaviors>
          <w:behavior w:val="content"/>
        </w:behaviors>
        <w:description w:val=""/>
        <w:guid w:val="{d67ece0c-6f1d-44c1-b453-17320c0b1733}"/>
      </w:docPartPr>
      <w:docPartBody>
        <w:p>
          <w:r>
            <w:rPr>
              <w:color w:val="808080"/>
            </w:rPr>
            <w:t>单击此处输入文字。</w:t>
          </w:r>
        </w:p>
      </w:docPartBody>
    </w:docPart>
    <w:docPart>
      <w:docPartPr>
        <w:name w:val="{13a2cf6e-0a94-40ff-b881-143618f96f4f}"/>
        <w:style w:val=""/>
        <w:category>
          <w:name w:val="常规"/>
          <w:gallery w:val="placeholder"/>
        </w:category>
        <w:types>
          <w:type w:val="bbPlcHdr"/>
        </w:types>
        <w:behaviors>
          <w:behavior w:val="content"/>
        </w:behaviors>
        <w:description w:val=""/>
        <w:guid w:val="{13a2cf6e-0a94-40ff-b881-143618f96f4f}"/>
      </w:docPartPr>
      <w:docPartBody>
        <w:p>
          <w:r>
            <w:rPr>
              <w:color w:val="808080"/>
            </w:rPr>
            <w:t>单击此处输入文字。</w:t>
          </w:r>
        </w:p>
      </w:docPartBody>
    </w:docPart>
    <w:docPart>
      <w:docPartPr>
        <w:name w:val="{59fc8fef-c02c-4e56-a8f0-e62de3bb88cb}"/>
        <w:style w:val=""/>
        <w:category>
          <w:name w:val="常规"/>
          <w:gallery w:val="placeholder"/>
        </w:category>
        <w:types>
          <w:type w:val="bbPlcHdr"/>
        </w:types>
        <w:behaviors>
          <w:behavior w:val="content"/>
        </w:behaviors>
        <w:description w:val=""/>
        <w:guid w:val="{59fc8fef-c02c-4e56-a8f0-e62de3bb88cb}"/>
      </w:docPartPr>
      <w:docPartBody>
        <w:p>
          <w:r>
            <w:rPr>
              <w:color w:val="808080"/>
            </w:rPr>
            <w:t>单击此处输入文字。</w:t>
          </w:r>
        </w:p>
      </w:docPartBody>
    </w:docPart>
    <w:docPart>
      <w:docPartPr>
        <w:name w:val="{42bfaaf9-38df-48ee-afa1-da7d3d436f41}"/>
        <w:style w:val=""/>
        <w:category>
          <w:name w:val="常规"/>
          <w:gallery w:val="placeholder"/>
        </w:category>
        <w:types>
          <w:type w:val="bbPlcHdr"/>
        </w:types>
        <w:behaviors>
          <w:behavior w:val="content"/>
        </w:behaviors>
        <w:description w:val=""/>
        <w:guid w:val="{42bfaaf9-38df-48ee-afa1-da7d3d436f41}"/>
      </w:docPartPr>
      <w:docPartBody>
        <w:p>
          <w:r>
            <w:rPr>
              <w:color w:val="808080"/>
            </w:rPr>
            <w:t>单击此处输入文字。</w:t>
          </w:r>
        </w:p>
      </w:docPartBody>
    </w:docPart>
    <w:docPart>
      <w:docPartPr>
        <w:name w:val="{2a4dff6c-b241-4ed1-9ff2-baf17752e569}"/>
        <w:style w:val=""/>
        <w:category>
          <w:name w:val="常规"/>
          <w:gallery w:val="placeholder"/>
        </w:category>
        <w:types>
          <w:type w:val="bbPlcHdr"/>
        </w:types>
        <w:behaviors>
          <w:behavior w:val="content"/>
        </w:behaviors>
        <w:description w:val=""/>
        <w:guid w:val="{2a4dff6c-b241-4ed1-9ff2-baf17752e569}"/>
      </w:docPartPr>
      <w:docPartBody>
        <w:p>
          <w:r>
            <w:rPr>
              <w:color w:val="808080"/>
            </w:rPr>
            <w:t>单击此处输入文字。</w:t>
          </w:r>
        </w:p>
      </w:docPartBody>
    </w:docPart>
    <w:docPart>
      <w:docPartPr>
        <w:name w:val="{74e8d728-3e82-4273-8c64-18b0707029ce}"/>
        <w:style w:val=""/>
        <w:category>
          <w:name w:val="常规"/>
          <w:gallery w:val="placeholder"/>
        </w:category>
        <w:types>
          <w:type w:val="bbPlcHdr"/>
        </w:types>
        <w:behaviors>
          <w:behavior w:val="content"/>
        </w:behaviors>
        <w:description w:val=""/>
        <w:guid w:val="{74e8d728-3e82-4273-8c64-18b0707029ce}"/>
      </w:docPartPr>
      <w:docPartBody>
        <w:p>
          <w:r>
            <w:rPr>
              <w:color w:val="808080"/>
            </w:rPr>
            <w:t>单击此处输入文字。</w:t>
          </w:r>
        </w:p>
      </w:docPartBody>
    </w:docPart>
    <w:docPart>
      <w:docPartPr>
        <w:name w:val="{4b0d09ed-5433-4555-a913-250dabd1258c}"/>
        <w:style w:val=""/>
        <w:category>
          <w:name w:val="常规"/>
          <w:gallery w:val="placeholder"/>
        </w:category>
        <w:types>
          <w:type w:val="bbPlcHdr"/>
        </w:types>
        <w:behaviors>
          <w:behavior w:val="content"/>
        </w:behaviors>
        <w:description w:val=""/>
        <w:guid w:val="{4b0d09ed-5433-4555-a913-250dabd1258c}"/>
      </w:docPartPr>
      <w:docPartBody>
        <w:p>
          <w:r>
            <w:rPr>
              <w:color w:val="808080"/>
            </w:rPr>
            <w:t>单击此处输入文字。</w:t>
          </w:r>
        </w:p>
      </w:docPartBody>
    </w:docPart>
    <w:docPart>
      <w:docPartPr>
        <w:name w:val="{ea185041-e11c-481b-86dd-f01cbd79e696}"/>
        <w:style w:val=""/>
        <w:category>
          <w:name w:val="常规"/>
          <w:gallery w:val="placeholder"/>
        </w:category>
        <w:types>
          <w:type w:val="bbPlcHdr"/>
        </w:types>
        <w:behaviors>
          <w:behavior w:val="content"/>
        </w:behaviors>
        <w:description w:val=""/>
        <w:guid w:val="{ea185041-e11c-481b-86dd-f01cbd79e696}"/>
      </w:docPartPr>
      <w:docPartBody>
        <w:p>
          <w:r>
            <w:rPr>
              <w:color w:val="808080"/>
            </w:rPr>
            <w:t>单击此处输入文字。</w:t>
          </w:r>
        </w:p>
      </w:docPartBody>
    </w:docPart>
    <w:docPart>
      <w:docPartPr>
        <w:name w:val="{267cc65c-32be-4546-9e47-5c1f42c46035}"/>
        <w:style w:val=""/>
        <w:category>
          <w:name w:val="常规"/>
          <w:gallery w:val="placeholder"/>
        </w:category>
        <w:types>
          <w:type w:val="bbPlcHdr"/>
        </w:types>
        <w:behaviors>
          <w:behavior w:val="content"/>
        </w:behaviors>
        <w:description w:val=""/>
        <w:guid w:val="{267cc65c-32be-4546-9e47-5c1f42c46035}"/>
      </w:docPartPr>
      <w:docPartBody>
        <w:p>
          <w:r>
            <w:rPr>
              <w:color w:val="808080"/>
            </w:rPr>
            <w:t>单击此处输入文字。</w:t>
          </w:r>
        </w:p>
      </w:docPartBody>
    </w:docPart>
    <w:docPart>
      <w:docPartPr>
        <w:name w:val="{098d0afa-4a09-4d6d-a4a4-c6caa19057d7}"/>
        <w:style w:val=""/>
        <w:category>
          <w:name w:val="常规"/>
          <w:gallery w:val="placeholder"/>
        </w:category>
        <w:types>
          <w:type w:val="bbPlcHdr"/>
        </w:types>
        <w:behaviors>
          <w:behavior w:val="content"/>
        </w:behaviors>
        <w:description w:val=""/>
        <w:guid w:val="{098d0afa-4a09-4d6d-a4a4-c6caa19057d7}"/>
      </w:docPartPr>
      <w:docPartBody>
        <w:p>
          <w:r>
            <w:rPr>
              <w:color w:val="808080"/>
            </w:rPr>
            <w:t>单击此处输入文字。</w:t>
          </w:r>
        </w:p>
      </w:docPartBody>
    </w:docPart>
    <w:docPart>
      <w:docPartPr>
        <w:name w:val="{bd9c4083-c957-42f4-bcbd-268cc2e6d7d6}"/>
        <w:style w:val=""/>
        <w:category>
          <w:name w:val="常规"/>
          <w:gallery w:val="placeholder"/>
        </w:category>
        <w:types>
          <w:type w:val="bbPlcHdr"/>
        </w:types>
        <w:behaviors>
          <w:behavior w:val="content"/>
        </w:behaviors>
        <w:description w:val=""/>
        <w:guid w:val="{bd9c4083-c957-42f4-bcbd-268cc2e6d7d6}"/>
      </w:docPartPr>
      <w:docPartBody>
        <w:p>
          <w:r>
            <w:rPr>
              <w:color w:val="808080"/>
            </w:rPr>
            <w:t>单击此处输入文字。</w:t>
          </w:r>
        </w:p>
      </w:docPartBody>
    </w:docPart>
    <w:docPart>
      <w:docPartPr>
        <w:name w:val="{803812f0-ff9d-4c73-9710-a4153133f299}"/>
        <w:style w:val=""/>
        <w:category>
          <w:name w:val="常规"/>
          <w:gallery w:val="placeholder"/>
        </w:category>
        <w:types>
          <w:type w:val="bbPlcHdr"/>
        </w:types>
        <w:behaviors>
          <w:behavior w:val="content"/>
        </w:behaviors>
        <w:description w:val=""/>
        <w:guid w:val="{803812f0-ff9d-4c73-9710-a4153133f299}"/>
      </w:docPartPr>
      <w:docPartBody>
        <w:p>
          <w:r>
            <w:rPr>
              <w:color w:val="808080"/>
            </w:rPr>
            <w:t>单击此处输入文字。</w:t>
          </w:r>
        </w:p>
      </w:docPartBody>
    </w:docPart>
    <w:docPart>
      <w:docPartPr>
        <w:name w:val="{b94eb835-ec5d-4474-8a49-0782ae5dbd39}"/>
        <w:style w:val=""/>
        <w:category>
          <w:name w:val="常规"/>
          <w:gallery w:val="placeholder"/>
        </w:category>
        <w:types>
          <w:type w:val="bbPlcHdr"/>
        </w:types>
        <w:behaviors>
          <w:behavior w:val="content"/>
        </w:behaviors>
        <w:description w:val=""/>
        <w:guid w:val="{b94eb835-ec5d-4474-8a49-0782ae5dbd39}"/>
      </w:docPartPr>
      <w:docPartBody>
        <w:p>
          <w:r>
            <w:rPr>
              <w:color w:val="808080"/>
            </w:rPr>
            <w:t>单击此处输入文字。</w:t>
          </w:r>
        </w:p>
      </w:docPartBody>
    </w:docPart>
    <w:docPart>
      <w:docPartPr>
        <w:name w:val="{b9ce8706-bb1e-43c4-8b17-3d68b863b422}"/>
        <w:style w:val=""/>
        <w:category>
          <w:name w:val="常规"/>
          <w:gallery w:val="placeholder"/>
        </w:category>
        <w:types>
          <w:type w:val="bbPlcHdr"/>
        </w:types>
        <w:behaviors>
          <w:behavior w:val="content"/>
        </w:behaviors>
        <w:description w:val=""/>
        <w:guid w:val="{b9ce8706-bb1e-43c4-8b17-3d68b863b422}"/>
      </w:docPartPr>
      <w:docPartBody>
        <w:p>
          <w:r>
            <w:rPr>
              <w:color w:val="808080"/>
            </w:rPr>
            <w:t>单击此处输入文字。</w:t>
          </w:r>
        </w:p>
      </w:docPartBody>
    </w:docPart>
    <w:docPart>
      <w:docPartPr>
        <w:name w:val="{d548f991-583a-4af8-80dc-3c5996b5b455}"/>
        <w:style w:val=""/>
        <w:category>
          <w:name w:val="常规"/>
          <w:gallery w:val="placeholder"/>
        </w:category>
        <w:types>
          <w:type w:val="bbPlcHdr"/>
        </w:types>
        <w:behaviors>
          <w:behavior w:val="content"/>
        </w:behaviors>
        <w:description w:val=""/>
        <w:guid w:val="{d548f991-583a-4af8-80dc-3c5996b5b455}"/>
      </w:docPartPr>
      <w:docPartBody>
        <w:p>
          <w:r>
            <w:rPr>
              <w:color w:val="808080"/>
            </w:rPr>
            <w:t>单击此处输入文字。</w:t>
          </w:r>
        </w:p>
      </w:docPartBody>
    </w:docPart>
    <w:docPart>
      <w:docPartPr>
        <w:name w:val="{23d5cbf4-99ed-448b-bb55-2dc0a41730fd}"/>
        <w:style w:val=""/>
        <w:category>
          <w:name w:val="常规"/>
          <w:gallery w:val="placeholder"/>
        </w:category>
        <w:types>
          <w:type w:val="bbPlcHdr"/>
        </w:types>
        <w:behaviors>
          <w:behavior w:val="content"/>
        </w:behaviors>
        <w:description w:val=""/>
        <w:guid w:val="{23d5cbf4-99ed-448b-bb55-2dc0a41730fd}"/>
      </w:docPartPr>
      <w:docPartBody>
        <w:p>
          <w:r>
            <w:rPr>
              <w:color w:val="808080"/>
            </w:rPr>
            <w:t>单击此处输入文字。</w:t>
          </w:r>
        </w:p>
      </w:docPartBody>
    </w:docPart>
    <w:docPart>
      <w:docPartPr>
        <w:name w:val="{20fcff81-2e9f-4c6f-b74f-a87002ffae66}"/>
        <w:style w:val=""/>
        <w:category>
          <w:name w:val="常规"/>
          <w:gallery w:val="placeholder"/>
        </w:category>
        <w:types>
          <w:type w:val="bbPlcHdr"/>
        </w:types>
        <w:behaviors>
          <w:behavior w:val="content"/>
        </w:behaviors>
        <w:description w:val=""/>
        <w:guid w:val="{20fcff81-2e9f-4c6f-b74f-a87002ffae66}"/>
      </w:docPartPr>
      <w:docPartBody>
        <w:p>
          <w:r>
            <w:rPr>
              <w:color w:val="808080"/>
            </w:rPr>
            <w:t>单击此处输入文字。</w:t>
          </w:r>
        </w:p>
      </w:docPartBody>
    </w:docPart>
    <w:docPart>
      <w:docPartPr>
        <w:name w:val="{60d51182-8f92-47a2-b339-65c62ba56f29}"/>
        <w:style w:val=""/>
        <w:category>
          <w:name w:val="常规"/>
          <w:gallery w:val="placeholder"/>
        </w:category>
        <w:types>
          <w:type w:val="bbPlcHdr"/>
        </w:types>
        <w:behaviors>
          <w:behavior w:val="content"/>
        </w:behaviors>
        <w:description w:val=""/>
        <w:guid w:val="{60d51182-8f92-47a2-b339-65c62ba56f29}"/>
      </w:docPartPr>
      <w:docPartBody>
        <w:p>
          <w:r>
            <w:rPr>
              <w:color w:val="808080"/>
            </w:rPr>
            <w:t>单击此处输入文字。</w:t>
          </w:r>
        </w:p>
      </w:docPartBody>
    </w:docPart>
    <w:docPart>
      <w:docPartPr>
        <w:name w:val="{6d336c45-5344-42d2-aaf3-e61747199469}"/>
        <w:style w:val=""/>
        <w:category>
          <w:name w:val="常规"/>
          <w:gallery w:val="placeholder"/>
        </w:category>
        <w:types>
          <w:type w:val="bbPlcHdr"/>
        </w:types>
        <w:behaviors>
          <w:behavior w:val="content"/>
        </w:behaviors>
        <w:description w:val=""/>
        <w:guid w:val="{6d336c45-5344-42d2-aaf3-e61747199469}"/>
      </w:docPartPr>
      <w:docPartBody>
        <w:p>
          <w:r>
            <w:rPr>
              <w:color w:val="808080"/>
            </w:rPr>
            <w:t>单击此处输入文字。</w:t>
          </w:r>
        </w:p>
      </w:docPartBody>
    </w:docPart>
    <w:docPart>
      <w:docPartPr>
        <w:name w:val="{135bca5b-e811-40a3-b35a-a68006de1bea}"/>
        <w:style w:val=""/>
        <w:category>
          <w:name w:val="常规"/>
          <w:gallery w:val="placeholder"/>
        </w:category>
        <w:types>
          <w:type w:val="bbPlcHdr"/>
        </w:types>
        <w:behaviors>
          <w:behavior w:val="content"/>
        </w:behaviors>
        <w:description w:val=""/>
        <w:guid w:val="{135bca5b-e811-40a3-b35a-a68006de1bea}"/>
      </w:docPartPr>
      <w:docPartBody>
        <w:p>
          <w:r>
            <w:rPr>
              <w:color w:val="808080"/>
            </w:rPr>
            <w:t>单击此处输入文字。</w:t>
          </w:r>
        </w:p>
      </w:docPartBody>
    </w:docPart>
    <w:docPart>
      <w:docPartPr>
        <w:name w:val="{bb45001a-62f8-49c8-b432-8ecc25ab4d56}"/>
        <w:style w:val=""/>
        <w:category>
          <w:name w:val="常规"/>
          <w:gallery w:val="placeholder"/>
        </w:category>
        <w:types>
          <w:type w:val="bbPlcHdr"/>
        </w:types>
        <w:behaviors>
          <w:behavior w:val="content"/>
        </w:behaviors>
        <w:description w:val=""/>
        <w:guid w:val="{bb45001a-62f8-49c8-b432-8ecc25ab4d56}"/>
      </w:docPartPr>
      <w:docPartBody>
        <w:p>
          <w:r>
            <w:rPr>
              <w:color w:val="808080"/>
            </w:rPr>
            <w:t>单击此处输入文字。</w:t>
          </w:r>
        </w:p>
      </w:docPartBody>
    </w:docPart>
    <w:docPart>
      <w:docPartPr>
        <w:name w:val="{3bf57d68-965c-4536-a6f6-36a05445582b}"/>
        <w:style w:val=""/>
        <w:category>
          <w:name w:val="常规"/>
          <w:gallery w:val="placeholder"/>
        </w:category>
        <w:types>
          <w:type w:val="bbPlcHdr"/>
        </w:types>
        <w:behaviors>
          <w:behavior w:val="content"/>
        </w:behaviors>
        <w:description w:val=""/>
        <w:guid w:val="{3bf57d68-965c-4536-a6f6-36a05445582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3930</Words>
  <Characters>4298</Characters>
  <TotalTime>2</TotalTime>
  <ScaleCrop>false</ScaleCrop>
  <LinksUpToDate>false</LinksUpToDate>
  <CharactersWithSpaces>4376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2019-06-10T08:38:00Z</dcterms:created>
  <dc:creator>朱玲</dc:creator>
  <cp:lastModifiedBy>lenovo</cp:lastModifiedBy>
  <cp:lastPrinted>2020-03-24T06:13:00Z</cp:lastPrinted>
  <dcterms:modified xsi:type="dcterms:W3CDTF">2023-10-16T03:28:08Z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WPS 文字</vt:lpwstr>
  </property>
  <property fmtid="{D5CDD505-2E9C-101B-9397-08002B2CF9AE}" pid="4" name="LastSaved">
    <vt:filetime>2019-06-10T00:00:00Z</vt:filetime>
  </property>
  <property fmtid="{D5CDD505-2E9C-101B-9397-08002B2CF9AE}" pid="5" name="KSOProductBuildVer">
    <vt:lpwstr>2052-12.1.0.15712</vt:lpwstr>
  </property>
  <property fmtid="{D5CDD505-2E9C-101B-9397-08002B2CF9AE}" pid="6" name="ICV">
    <vt:lpwstr>C6859DC016194D8CAB2CD30F1672FF8E_13</vt:lpwstr>
  </property>
</Properties>
</file>