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84"/>
          <w:szCs w:val="84"/>
        </w:rPr>
      </w:pPr>
    </w:p>
    <w:p>
      <w:pPr>
        <w:spacing w:line="360" w:lineRule="auto"/>
        <w:jc w:val="center"/>
        <w:rPr>
          <w:rFonts w:hint="eastAsia" w:eastAsia="方正小标宋简体"/>
          <w:sz w:val="32"/>
          <w:szCs w:val="32"/>
          <w:lang w:eastAsia="zh-CN"/>
        </w:rPr>
      </w:pPr>
      <w:r>
        <w:rPr>
          <w:rFonts w:hint="eastAsia" w:ascii="方正小标宋简体" w:eastAsia="方正小标宋简体"/>
          <w:sz w:val="72"/>
          <w:szCs w:val="72"/>
        </w:rPr>
        <w:t>遂溪县</w:t>
      </w:r>
      <w:r>
        <w:rPr>
          <w:rFonts w:hint="eastAsia" w:ascii="方正小标宋简体" w:eastAsia="方正小标宋简体"/>
          <w:sz w:val="72"/>
          <w:szCs w:val="72"/>
          <w:lang w:eastAsia="zh-CN"/>
        </w:rPr>
        <w:t>江洪镇人民政府</w:t>
      </w:r>
    </w:p>
    <w:p>
      <w:pPr>
        <w:spacing w:line="360" w:lineRule="auto"/>
        <w:jc w:val="center"/>
        <w:rPr>
          <w:spacing w:val="40"/>
          <w:sz w:val="84"/>
          <w:szCs w:val="84"/>
        </w:rPr>
      </w:pPr>
      <w:r>
        <w:rPr>
          <w:rFonts w:hint="eastAsia" w:ascii="方正小标宋简体" w:eastAsia="方正小标宋简体"/>
          <w:spacing w:val="40"/>
          <w:sz w:val="84"/>
          <w:szCs w:val="84"/>
        </w:rPr>
        <w:t>基层政务公开标准目录汇编</w:t>
      </w:r>
    </w:p>
    <w:p>
      <w:pPr>
        <w:jc w:val="center"/>
        <w:rPr>
          <w:rFonts w:ascii="方正小标宋简体" w:eastAsia="方正小标宋简体"/>
          <w:sz w:val="44"/>
          <w:szCs w:val="44"/>
        </w:rPr>
      </w:pPr>
    </w:p>
    <w:p>
      <w:pPr>
        <w:rPr>
          <w:rFonts w:ascii="方正小标宋简体" w:eastAsia="方正小标宋简体"/>
          <w:sz w:val="44"/>
          <w:szCs w:val="44"/>
        </w:rPr>
      </w:pPr>
    </w:p>
    <w:p>
      <w:pPr>
        <w:jc w:val="center"/>
        <w:rPr>
          <w:rFonts w:ascii="方正小标宋简体" w:eastAsia="方正小标宋简体"/>
          <w:sz w:val="44"/>
          <w:szCs w:val="44"/>
        </w:rPr>
        <w:sectPr>
          <w:footerReference r:id="rId3" w:type="default"/>
          <w:pgSz w:w="16838" w:h="11906" w:orient="landscape"/>
          <w:pgMar w:top="1134" w:right="1418" w:bottom="1021" w:left="1418" w:header="851" w:footer="992" w:gutter="0"/>
          <w:cols w:space="425" w:num="1"/>
          <w:docGrid w:type="lines" w:linePitch="312" w:charSpace="0"/>
        </w:sect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年1</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月</w:t>
      </w:r>
    </w:p>
    <w:sdt>
      <w:sdtPr>
        <w:rPr>
          <w:rFonts w:asciiTheme="minorHAnsi" w:hAnsiTheme="minorHAnsi" w:eastAsiaTheme="minorEastAsia" w:cstheme="minorBidi"/>
          <w:color w:val="auto"/>
          <w:kern w:val="2"/>
          <w:sz w:val="21"/>
          <w:szCs w:val="22"/>
          <w:lang w:val="zh-CN"/>
        </w:rPr>
        <w:id w:val="-599715047"/>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1"/>
            <w:spacing w:afterLines="100" w:line="600" w:lineRule="exact"/>
            <w:jc w:val="center"/>
            <w:rPr>
              <w:b/>
              <w:bCs/>
              <w:sz w:val="48"/>
              <w:szCs w:val="48"/>
            </w:rPr>
          </w:pPr>
          <w:r>
            <w:rPr>
              <w:b/>
              <w:bCs/>
              <w:sz w:val="48"/>
              <w:szCs w:val="48"/>
              <w:lang w:val="zh-CN"/>
            </w:rPr>
            <w:t>目录</w:t>
          </w:r>
        </w:p>
        <w:p>
          <w:pPr>
            <w:pStyle w:val="8"/>
            <w:tabs>
              <w:tab w:val="right" w:leader="dot" w:pos="14002"/>
            </w:tabs>
          </w:pPr>
          <w:r>
            <w:fldChar w:fldCharType="begin"/>
          </w:r>
          <w:r>
            <w:instrText xml:space="preserve"> TOC \o "1-3" \h \z \u </w:instrText>
          </w:r>
          <w:r>
            <w:fldChar w:fldCharType="separate"/>
          </w:r>
          <w:r>
            <w:fldChar w:fldCharType="begin"/>
          </w:r>
          <w:r>
            <w:instrText xml:space="preserve"> HYPERLINK \l "_Toc2245" </w:instrText>
          </w:r>
          <w:r>
            <w:fldChar w:fldCharType="separate"/>
          </w:r>
          <w:r>
            <w:rPr>
              <w:rFonts w:hint="eastAsia" w:ascii="方正小标宋_GBK" w:hAnsi="方正小标宋_GBK" w:eastAsia="方正小标宋_GBK"/>
            </w:rPr>
            <w:t>（一）基础信息</w:t>
          </w:r>
          <w:r>
            <w:tab/>
          </w:r>
          <w:r>
            <w:fldChar w:fldCharType="begin"/>
          </w:r>
          <w:r>
            <w:instrText xml:space="preserve"> PAGEREF _Toc2245 </w:instrText>
          </w:r>
          <w:r>
            <w:fldChar w:fldCharType="separate"/>
          </w:r>
          <w:r>
            <w:t>1</w:t>
          </w:r>
          <w:r>
            <w:fldChar w:fldCharType="end"/>
          </w:r>
          <w:r>
            <w:fldChar w:fldCharType="end"/>
          </w:r>
        </w:p>
        <w:p>
          <w:pPr>
            <w:pStyle w:val="8"/>
            <w:tabs>
              <w:tab w:val="right" w:leader="dot" w:pos="14002"/>
            </w:tabs>
          </w:pPr>
          <w:r>
            <w:fldChar w:fldCharType="begin"/>
          </w:r>
          <w:r>
            <w:instrText xml:space="preserve"> HYPERLINK \l "_Toc28396" </w:instrText>
          </w:r>
          <w:r>
            <w:fldChar w:fldCharType="separate"/>
          </w:r>
          <w:r>
            <w:rPr>
              <w:rFonts w:hint="eastAsia" w:ascii="方正小标宋_GBK" w:hAnsi="方正小标宋_GBK" w:eastAsia="方正小标宋_GBK"/>
              <w:szCs w:val="48"/>
            </w:rPr>
            <w:t>（二）社会救助领域基层政务公开标准目录</w:t>
          </w:r>
          <w:r>
            <w:tab/>
          </w:r>
          <w:r>
            <w:fldChar w:fldCharType="begin"/>
          </w:r>
          <w:r>
            <w:instrText xml:space="preserve"> PAGEREF _Toc28396 </w:instrText>
          </w:r>
          <w:r>
            <w:fldChar w:fldCharType="separate"/>
          </w:r>
          <w:r>
            <w:t>2</w:t>
          </w:r>
          <w:r>
            <w:fldChar w:fldCharType="end"/>
          </w:r>
          <w:r>
            <w:fldChar w:fldCharType="end"/>
          </w:r>
        </w:p>
        <w:p>
          <w:pPr>
            <w:pStyle w:val="8"/>
            <w:tabs>
              <w:tab w:val="right" w:leader="dot" w:pos="14002"/>
            </w:tabs>
          </w:pPr>
          <w:r>
            <w:fldChar w:fldCharType="begin"/>
          </w:r>
          <w:r>
            <w:instrText xml:space="preserve"> HYPERLINK \l "_Toc31840" </w:instrText>
          </w:r>
          <w:r>
            <w:fldChar w:fldCharType="separate"/>
          </w:r>
          <w:r>
            <w:rPr>
              <w:rFonts w:hint="eastAsia" w:ascii="方正小标宋_GBK" w:hAnsi="方正小标宋_GBK" w:eastAsia="方正小标宋_GBK"/>
            </w:rPr>
            <w:t>（三）养老服务领域基层政务公开标准目录</w:t>
          </w:r>
          <w:r>
            <w:tab/>
          </w:r>
          <w:r>
            <w:fldChar w:fldCharType="begin"/>
          </w:r>
          <w:r>
            <w:instrText xml:space="preserve"> PAGEREF _Toc31840 </w:instrText>
          </w:r>
          <w:r>
            <w:fldChar w:fldCharType="separate"/>
          </w:r>
          <w:r>
            <w:t>4</w:t>
          </w:r>
          <w:r>
            <w:fldChar w:fldCharType="end"/>
          </w:r>
          <w:r>
            <w:fldChar w:fldCharType="end"/>
          </w:r>
        </w:p>
        <w:p>
          <w:pPr>
            <w:pStyle w:val="8"/>
            <w:tabs>
              <w:tab w:val="right" w:leader="dot" w:pos="14002"/>
            </w:tabs>
          </w:pPr>
          <w:r>
            <w:fldChar w:fldCharType="begin"/>
          </w:r>
          <w:r>
            <w:instrText xml:space="preserve"> HYPERLINK \l "_Toc10043" </w:instrText>
          </w:r>
          <w:r>
            <w:fldChar w:fldCharType="separate"/>
          </w:r>
          <w:r>
            <w:rPr>
              <w:rFonts w:hint="eastAsia" w:ascii="方正小标宋_GBK" w:hAnsi="方正小标宋_GBK" w:eastAsia="方正小标宋_GBK"/>
            </w:rPr>
            <w:t>（四）</w:t>
          </w:r>
          <w:r>
            <w:rPr>
              <w:rFonts w:hint="eastAsia" w:ascii="方正小标宋_GBK" w:hAnsi="方正小标宋_GBK" w:eastAsia="方正小标宋_GBK"/>
              <w:lang w:eastAsia="zh-CN"/>
            </w:rPr>
            <w:t>乡村振兴</w:t>
          </w:r>
          <w:r>
            <w:rPr>
              <w:rFonts w:hint="eastAsia" w:ascii="方正小标宋_GBK" w:hAnsi="方正小标宋_GBK" w:eastAsia="方正小标宋_GBK"/>
            </w:rPr>
            <w:t>领域基层政务公开标准目录</w:t>
          </w:r>
          <w:r>
            <w:tab/>
          </w:r>
          <w:r>
            <w:fldChar w:fldCharType="begin"/>
          </w:r>
          <w:r>
            <w:instrText xml:space="preserve"> PAGEREF _Toc10043 </w:instrText>
          </w:r>
          <w:r>
            <w:fldChar w:fldCharType="separate"/>
          </w:r>
          <w:r>
            <w:t>5</w:t>
          </w:r>
          <w:r>
            <w:fldChar w:fldCharType="end"/>
          </w:r>
          <w:r>
            <w:fldChar w:fldCharType="end"/>
          </w:r>
        </w:p>
        <w:p>
          <w:pPr>
            <w:pStyle w:val="8"/>
            <w:tabs>
              <w:tab w:val="right" w:leader="dot" w:pos="14002"/>
            </w:tabs>
            <w:rPr>
              <w:rFonts w:hint="eastAsia" w:eastAsiaTheme="minorEastAsia"/>
              <w:lang w:val="en-US" w:eastAsia="zh-CN"/>
            </w:rPr>
          </w:pPr>
          <w:r>
            <w:fldChar w:fldCharType="begin"/>
          </w:r>
          <w:r>
            <w:instrText xml:space="preserve"> HYPERLINK \l "_Toc13363" </w:instrText>
          </w:r>
          <w:r>
            <w:fldChar w:fldCharType="separate"/>
          </w:r>
          <w:r>
            <w:rPr>
              <w:rFonts w:hint="eastAsia" w:ascii="方正小标宋_GBK" w:hAnsi="方正小标宋_GBK" w:eastAsia="方正小标宋_GBK"/>
            </w:rPr>
            <w:t>（五）公共法律服务领域基层政务公开标准目录</w:t>
          </w:r>
          <w:r>
            <w:tab/>
          </w:r>
          <w:r>
            <w:rPr>
              <w:rFonts w:hint="eastAsia"/>
              <w:lang w:val="en-US" w:eastAsia="zh-CN"/>
            </w:rPr>
            <w:t>1</w:t>
          </w:r>
          <w:r>
            <w:fldChar w:fldCharType="end"/>
          </w:r>
          <w:r>
            <w:rPr>
              <w:rFonts w:hint="eastAsia"/>
              <w:lang w:val="en-US" w:eastAsia="zh-CN"/>
            </w:rPr>
            <w:t>0</w:t>
          </w:r>
        </w:p>
        <w:p>
          <w:pPr>
            <w:pStyle w:val="8"/>
            <w:tabs>
              <w:tab w:val="right" w:leader="dot" w:pos="14002"/>
            </w:tabs>
          </w:pPr>
          <w:r>
            <w:fldChar w:fldCharType="begin"/>
          </w:r>
          <w:r>
            <w:instrText xml:space="preserve"> HYPERLINK \l "_Toc3876" </w:instrText>
          </w:r>
          <w:r>
            <w:fldChar w:fldCharType="separate"/>
          </w:r>
          <w:r>
            <w:rPr>
              <w:rFonts w:hint="eastAsia" w:ascii="方正小标宋_GBK" w:hAnsi="方正小标宋_GBK" w:eastAsia="方正小标宋_GBK"/>
            </w:rPr>
            <w:t>（六）公共文化服务领域基层政务公开标准目录</w:t>
          </w:r>
          <w:r>
            <w:tab/>
          </w:r>
          <w:r>
            <w:fldChar w:fldCharType="begin"/>
          </w:r>
          <w:r>
            <w:instrText xml:space="preserve"> PAGEREF _Toc3876 </w:instrText>
          </w:r>
          <w:r>
            <w:fldChar w:fldCharType="separate"/>
          </w:r>
          <w:r>
            <w:t>11</w:t>
          </w:r>
          <w:r>
            <w:fldChar w:fldCharType="end"/>
          </w:r>
          <w:r>
            <w:fldChar w:fldCharType="end"/>
          </w:r>
        </w:p>
        <w:p>
          <w:pPr>
            <w:pStyle w:val="8"/>
            <w:tabs>
              <w:tab w:val="right" w:leader="dot" w:pos="14002"/>
            </w:tabs>
          </w:pPr>
          <w:r>
            <w:fldChar w:fldCharType="begin"/>
          </w:r>
          <w:r>
            <w:instrText xml:space="preserve"> HYPERLINK \l "_Toc14712" </w:instrText>
          </w:r>
          <w:r>
            <w:fldChar w:fldCharType="separate"/>
          </w:r>
          <w:r>
            <w:rPr>
              <w:rFonts w:hint="eastAsia" w:ascii="方正小标宋_GBK" w:eastAsia="方正小标宋_GBK"/>
              <w:szCs w:val="30"/>
            </w:rPr>
            <w:t>（七）社会保险领域基层政务公开标准目录</w:t>
          </w:r>
          <w:r>
            <w:tab/>
          </w:r>
          <w:r>
            <w:fldChar w:fldCharType="begin"/>
          </w:r>
          <w:r>
            <w:instrText xml:space="preserve"> PAGEREF _Toc14712 </w:instrText>
          </w:r>
          <w:r>
            <w:fldChar w:fldCharType="separate"/>
          </w:r>
          <w:r>
            <w:t>12</w:t>
          </w:r>
          <w:r>
            <w:fldChar w:fldCharType="end"/>
          </w:r>
          <w:r>
            <w:fldChar w:fldCharType="end"/>
          </w:r>
        </w:p>
        <w:p>
          <w:pPr>
            <w:pStyle w:val="8"/>
            <w:tabs>
              <w:tab w:val="right" w:leader="dot" w:pos="14002"/>
            </w:tabs>
          </w:pPr>
          <w:r>
            <w:fldChar w:fldCharType="begin"/>
          </w:r>
          <w:r>
            <w:instrText xml:space="preserve"> HYPERLINK \l "_Toc1782" </w:instrText>
          </w:r>
          <w:r>
            <w:fldChar w:fldCharType="separate"/>
          </w:r>
          <w:r>
            <w:rPr>
              <w:rFonts w:hint="eastAsia" w:ascii="方正小标宋_GBK" w:hAnsi="方正小标宋_GBK" w:eastAsia="方正小标宋_GBK"/>
            </w:rPr>
            <w:t>（八）就业领域基层政务公开标准目录</w:t>
          </w:r>
          <w:r>
            <w:tab/>
          </w:r>
          <w:r>
            <w:fldChar w:fldCharType="begin"/>
          </w:r>
          <w:r>
            <w:instrText xml:space="preserve"> PAGEREF _Toc1782 </w:instrText>
          </w:r>
          <w:r>
            <w:fldChar w:fldCharType="separate"/>
          </w:r>
          <w:r>
            <w:t>14</w:t>
          </w:r>
          <w:r>
            <w:fldChar w:fldCharType="end"/>
          </w:r>
          <w:r>
            <w:fldChar w:fldCharType="end"/>
          </w:r>
        </w:p>
        <w:p>
          <w:pPr>
            <w:pStyle w:val="8"/>
            <w:tabs>
              <w:tab w:val="right" w:leader="dot" w:pos="14002"/>
            </w:tabs>
          </w:pPr>
          <w:r>
            <w:fldChar w:fldCharType="begin"/>
          </w:r>
          <w:r>
            <w:instrText xml:space="preserve"> HYPERLINK \l "_Toc32568" </w:instrText>
          </w:r>
          <w:r>
            <w:fldChar w:fldCharType="separate"/>
          </w:r>
          <w:r>
            <w:rPr>
              <w:rFonts w:hint="eastAsia" w:ascii="方正小标宋_GBK" w:hAnsi="方正小标宋_GBK" w:eastAsia="方正小标宋_GBK"/>
            </w:rPr>
            <w:t>（九）卫生健康领域基层政务公开标准目录</w:t>
          </w:r>
          <w:r>
            <w:tab/>
          </w:r>
          <w:r>
            <w:fldChar w:fldCharType="begin"/>
          </w:r>
          <w:r>
            <w:instrText xml:space="preserve"> PAGEREF _Toc32568 </w:instrText>
          </w:r>
          <w:r>
            <w:fldChar w:fldCharType="separate"/>
          </w:r>
          <w:r>
            <w:t>15</w:t>
          </w:r>
          <w:r>
            <w:fldChar w:fldCharType="end"/>
          </w:r>
          <w:r>
            <w:fldChar w:fldCharType="end"/>
          </w:r>
        </w:p>
        <w:p>
          <w:pPr>
            <w:pStyle w:val="8"/>
            <w:tabs>
              <w:tab w:val="right" w:leader="dot" w:pos="14002"/>
            </w:tabs>
          </w:pPr>
          <w:r>
            <w:fldChar w:fldCharType="begin"/>
          </w:r>
          <w:r>
            <w:instrText xml:space="preserve"> HYPERLINK \l "_Toc25006" </w:instrText>
          </w:r>
          <w:r>
            <w:fldChar w:fldCharType="separate"/>
          </w:r>
          <w:r>
            <w:rPr>
              <w:rFonts w:hint="eastAsia" w:ascii="方正小标宋_GBK" w:hAnsi="方正小标宋_GBK" w:eastAsia="方正小标宋_GBK"/>
            </w:rPr>
            <w:t>（十）救灾领域基层政务公开标准目录</w:t>
          </w:r>
          <w:r>
            <w:tab/>
          </w:r>
          <w:r>
            <w:fldChar w:fldCharType="begin"/>
          </w:r>
          <w:r>
            <w:instrText xml:space="preserve"> PAGEREF _Toc25006 </w:instrText>
          </w:r>
          <w:r>
            <w:fldChar w:fldCharType="separate"/>
          </w:r>
          <w:r>
            <w:t>16</w:t>
          </w:r>
          <w:r>
            <w:fldChar w:fldCharType="end"/>
          </w:r>
          <w:r>
            <w:fldChar w:fldCharType="end"/>
          </w:r>
        </w:p>
        <w:p>
          <w:pPr>
            <w:pStyle w:val="8"/>
            <w:tabs>
              <w:tab w:val="right" w:leader="dot" w:pos="14002"/>
            </w:tabs>
          </w:pPr>
          <w:r>
            <w:fldChar w:fldCharType="begin"/>
          </w:r>
          <w:r>
            <w:instrText xml:space="preserve"> HYPERLINK \l "_Toc20557" </w:instrText>
          </w:r>
          <w:r>
            <w:fldChar w:fldCharType="separate"/>
          </w:r>
          <w:r>
            <w:rPr>
              <w:rFonts w:hint="eastAsia" w:ascii="方正小标宋_GBK" w:hAnsi="方正小标宋_GBK" w:eastAsia="方正小标宋_GBK"/>
            </w:rPr>
            <w:t>（十一）食品药品监管领域基层政务公开标准目录</w:t>
          </w:r>
          <w:r>
            <w:tab/>
          </w:r>
          <w:r>
            <w:fldChar w:fldCharType="begin"/>
          </w:r>
          <w:r>
            <w:instrText xml:space="preserve"> PAGEREF _Toc20557 </w:instrText>
          </w:r>
          <w:r>
            <w:fldChar w:fldCharType="separate"/>
          </w:r>
          <w:r>
            <w:t>17</w:t>
          </w:r>
          <w:r>
            <w:fldChar w:fldCharType="end"/>
          </w:r>
          <w:r>
            <w:fldChar w:fldCharType="end"/>
          </w:r>
        </w:p>
        <w:p>
          <w:pPr>
            <w:pStyle w:val="8"/>
            <w:tabs>
              <w:tab w:val="right" w:leader="dot" w:pos="14002"/>
            </w:tabs>
          </w:pPr>
          <w:r>
            <w:fldChar w:fldCharType="begin"/>
          </w:r>
          <w:r>
            <w:instrText xml:space="preserve"> HYPERLINK \l "_Toc7004" </w:instrText>
          </w:r>
          <w:r>
            <w:fldChar w:fldCharType="separate"/>
          </w:r>
          <w:r>
            <w:rPr>
              <w:rFonts w:hint="eastAsia" w:ascii="方正小标宋_GBK" w:hAnsi="方正小标宋_GBK" w:eastAsia="方正小标宋_GBK"/>
              <w:szCs w:val="28"/>
            </w:rPr>
            <w:t>（十二）</w:t>
          </w:r>
          <w:r>
            <w:rPr>
              <w:rFonts w:hint="eastAsia" w:ascii="方正小标宋_GBK" w:hAnsi="方正小标宋_GBK" w:eastAsia="方正小标宋_GBK"/>
            </w:rPr>
            <w:t>财政预决算领域基层政务公开标准目录</w:t>
          </w:r>
          <w:r>
            <w:tab/>
          </w:r>
          <w:r>
            <w:fldChar w:fldCharType="begin"/>
          </w:r>
          <w:r>
            <w:instrText xml:space="preserve"> PAGEREF _Toc7004 </w:instrText>
          </w:r>
          <w:r>
            <w:fldChar w:fldCharType="separate"/>
          </w:r>
          <w:r>
            <w:t>18</w:t>
          </w:r>
          <w:r>
            <w:fldChar w:fldCharType="end"/>
          </w:r>
          <w:r>
            <w:fldChar w:fldCharType="end"/>
          </w:r>
        </w:p>
        <w:p>
          <w:pPr>
            <w:spacing w:line="600" w:lineRule="exact"/>
            <w:sectPr>
              <w:footerReference r:id="rId4" w:type="default"/>
              <w:pgSz w:w="16838" w:h="11906" w:orient="landscape"/>
              <w:pgMar w:top="1134" w:right="1418" w:bottom="1021" w:left="1418" w:header="851" w:footer="992" w:gutter="0"/>
              <w:pgNumType w:start="1"/>
              <w:cols w:space="425" w:num="1"/>
              <w:docGrid w:type="lines" w:linePitch="312" w:charSpace="0"/>
            </w:sectPr>
          </w:pPr>
          <w:r>
            <w:rPr>
              <w:bCs/>
              <w:lang w:val="zh-CN"/>
            </w:rPr>
            <w:fldChar w:fldCharType="end"/>
          </w:r>
        </w:p>
      </w:sdtContent>
    </w:sdt>
    <w:p>
      <w:pPr>
        <w:pStyle w:val="2"/>
        <w:jc w:val="center"/>
        <w:rPr>
          <w:rFonts w:ascii="方正小标宋_GBK" w:hAnsi="方正小标宋_GBK" w:eastAsia="方正小标宋_GBK"/>
          <w:b w:val="0"/>
          <w:bCs w:val="0"/>
          <w:sz w:val="30"/>
        </w:rPr>
      </w:pPr>
      <w:bookmarkStart w:id="0" w:name="_Toc2245"/>
      <w:r>
        <w:rPr>
          <w:rFonts w:hint="eastAsia" w:ascii="方正小标宋_GBK" w:hAnsi="方正小标宋_GBK" w:eastAsia="方正小标宋_GBK"/>
          <w:b w:val="0"/>
          <w:bCs w:val="0"/>
          <w:sz w:val="30"/>
        </w:rPr>
        <w:t>（一）基础信息</w:t>
      </w:r>
      <w:bookmarkEnd w:id="0"/>
    </w:p>
    <w:tbl>
      <w:tblPr>
        <w:tblStyle w:val="10"/>
        <w:tblW w:w="16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709"/>
        <w:gridCol w:w="709"/>
        <w:gridCol w:w="1309"/>
        <w:gridCol w:w="2376"/>
        <w:gridCol w:w="1843"/>
        <w:gridCol w:w="1559"/>
        <w:gridCol w:w="992"/>
        <w:gridCol w:w="1843"/>
        <w:gridCol w:w="709"/>
        <w:gridCol w:w="851"/>
        <w:gridCol w:w="708"/>
        <w:gridCol w:w="772"/>
        <w:gridCol w:w="64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506" w:type="dxa"/>
            <w:vMerge w:val="restart"/>
            <w:vAlign w:val="center"/>
          </w:tcPr>
          <w:p>
            <w:pPr>
              <w:widowControl/>
              <w:jc w:val="center"/>
              <w:rPr>
                <w:rFonts w:ascii="Times New Roman" w:hAnsi="Times New Roman"/>
                <w:kern w:val="0"/>
                <w:sz w:val="22"/>
              </w:rPr>
            </w:pPr>
            <w:r>
              <w:rPr>
                <w:rFonts w:ascii="黑体" w:hAnsi="宋体" w:eastAsia="黑体" w:cs="宋体"/>
                <w:kern w:val="0"/>
                <w:sz w:val="22"/>
              </w:rPr>
              <w:t>序号</w:t>
            </w:r>
          </w:p>
        </w:tc>
        <w:tc>
          <w:tcPr>
            <w:tcW w:w="70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相应领域</w:t>
            </w:r>
          </w:p>
        </w:tc>
        <w:tc>
          <w:tcPr>
            <w:tcW w:w="2018"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7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55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4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6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48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6" w:type="dxa"/>
            <w:vMerge w:val="continue"/>
            <w:vAlign w:val="center"/>
          </w:tcPr>
          <w:p>
            <w:pPr>
              <w:widowControl/>
              <w:jc w:val="left"/>
              <w:rPr>
                <w:rFonts w:ascii="Times New Roman" w:hAnsi="Times New Roman"/>
                <w:kern w:val="0"/>
                <w:sz w:val="22"/>
              </w:rPr>
            </w:pPr>
          </w:p>
        </w:tc>
        <w:tc>
          <w:tcPr>
            <w:tcW w:w="709" w:type="dxa"/>
            <w:vMerge w:val="continue"/>
          </w:tcPr>
          <w:p>
            <w:pPr>
              <w:widowControl/>
              <w:jc w:val="center"/>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3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w:t>
            </w:r>
          </w:p>
          <w:p>
            <w:pPr>
              <w:widowControl/>
              <w:jc w:val="center"/>
              <w:rPr>
                <w:rFonts w:ascii="黑体" w:hAnsi="宋体" w:eastAsia="黑体" w:cs="宋体"/>
                <w:kern w:val="0"/>
                <w:sz w:val="22"/>
              </w:rPr>
            </w:pPr>
            <w:r>
              <w:rPr>
                <w:rFonts w:hint="eastAsia" w:ascii="黑体" w:hAnsi="宋体" w:eastAsia="黑体" w:cs="宋体"/>
                <w:kern w:val="0"/>
                <w:sz w:val="22"/>
              </w:rPr>
              <w:t>事项</w:t>
            </w:r>
          </w:p>
        </w:tc>
        <w:tc>
          <w:tcPr>
            <w:tcW w:w="2376"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left"/>
              <w:rPr>
                <w:rFonts w:ascii="黑体" w:hAnsi="宋体" w:eastAsia="黑体" w:cs="宋体"/>
                <w:kern w:val="0"/>
                <w:sz w:val="22"/>
              </w:rPr>
            </w:pPr>
          </w:p>
        </w:tc>
        <w:tc>
          <w:tcPr>
            <w:tcW w:w="1559"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1843" w:type="dxa"/>
            <w:vMerge w:val="continue"/>
            <w:vAlign w:val="center"/>
          </w:tcPr>
          <w:p>
            <w:pPr>
              <w:widowControl/>
              <w:jc w:val="center"/>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72"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646"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94"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506" w:type="dxa"/>
            <w:vAlign w:val="center"/>
          </w:tcPr>
          <w:p>
            <w:pPr>
              <w:widowControl/>
              <w:jc w:val="center"/>
              <w:rPr>
                <w:rFonts w:ascii="仿宋_GB2312" w:hAnsi="宋体" w:eastAsia="仿宋_GB2312"/>
                <w:sz w:val="18"/>
                <w:szCs w:val="18"/>
              </w:rPr>
            </w:pPr>
            <w:r>
              <w:rPr>
                <w:rFonts w:ascii="仿宋_GB2312" w:hAnsi="宋体" w:eastAsia="仿宋_GB2312"/>
                <w:sz w:val="18"/>
                <w:szCs w:val="18"/>
              </w:rPr>
              <w:t>1</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基础信息</w:t>
            </w:r>
          </w:p>
        </w:tc>
        <w:tc>
          <w:tcPr>
            <w:tcW w:w="709" w:type="dxa"/>
            <w:vMerge w:val="restart"/>
          </w:tcPr>
          <w:p>
            <w:pPr>
              <w:pStyle w:val="22"/>
              <w:rPr>
                <w:rFonts w:ascii="Times New Roman"/>
                <w:sz w:val="13"/>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color w:val="000000"/>
                <w:sz w:val="18"/>
                <w:szCs w:val="18"/>
              </w:rPr>
            </w:pPr>
          </w:p>
          <w:p>
            <w:pPr>
              <w:jc w:val="left"/>
              <w:rPr>
                <w:rFonts w:ascii="仿宋_GB2312" w:hAnsi="宋体" w:eastAsia="仿宋_GB2312"/>
                <w:sz w:val="18"/>
                <w:szCs w:val="18"/>
              </w:rPr>
            </w:pPr>
            <w:r>
              <w:rPr>
                <w:rFonts w:hint="eastAsia" w:ascii="仿宋_GB2312" w:hAnsi="宋体" w:eastAsia="仿宋_GB2312"/>
                <w:color w:val="000000"/>
                <w:sz w:val="18"/>
                <w:szCs w:val="18"/>
              </w:rPr>
              <w:t>概况</w:t>
            </w:r>
            <w:r>
              <w:rPr>
                <w:rFonts w:ascii="仿宋_GB2312" w:hAnsi="宋体" w:eastAsia="仿宋_GB2312"/>
                <w:color w:val="000000"/>
                <w:sz w:val="18"/>
                <w:szCs w:val="18"/>
              </w:rPr>
              <w:t>信息</w:t>
            </w: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机构概况</w:t>
            </w:r>
          </w:p>
        </w:tc>
        <w:tc>
          <w:tcPr>
            <w:tcW w:w="2376"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机构名称、办公地址、办公时间、办公电话、邮政编码</w:t>
            </w:r>
          </w:p>
        </w:tc>
        <w:tc>
          <w:tcPr>
            <w:tcW w:w="1843"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559" w:type="dxa"/>
            <w:vMerge w:val="restart"/>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永久公开</w:t>
            </w:r>
          </w:p>
          <w:p>
            <w:pPr>
              <w:spacing w:line="240" w:lineRule="atLeast"/>
              <w:jc w:val="center"/>
              <w:textAlignment w:val="center"/>
              <w:rPr>
                <w:rFonts w:ascii="仿宋_GB2312" w:hAnsi="宋体" w:eastAsia="仿宋_GB2312"/>
                <w:color w:val="000000"/>
                <w:sz w:val="18"/>
                <w:szCs w:val="18"/>
              </w:rPr>
            </w:pPr>
          </w:p>
        </w:tc>
        <w:tc>
          <w:tcPr>
            <w:tcW w:w="992" w:type="dxa"/>
            <w:vMerge w:val="restart"/>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江洪镇人民政府</w:t>
            </w:r>
          </w:p>
        </w:tc>
        <w:tc>
          <w:tcPr>
            <w:tcW w:w="184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2</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机构职能</w:t>
            </w:r>
          </w:p>
        </w:tc>
        <w:tc>
          <w:tcPr>
            <w:tcW w:w="2376"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依据三定方案确定的本部门法定职能</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spacing w:line="240" w:lineRule="atLeast"/>
              <w:jc w:val="center"/>
              <w:textAlignment w:val="center"/>
              <w:rPr>
                <w:rFonts w:ascii="仿宋_GB2312" w:hAnsi="宋体" w:eastAsia="仿宋_GB2312"/>
                <w:color w:val="000000"/>
                <w:sz w:val="18"/>
                <w:szCs w:val="18"/>
              </w:rPr>
            </w:pPr>
          </w:p>
        </w:tc>
        <w:tc>
          <w:tcPr>
            <w:tcW w:w="992" w:type="dxa"/>
            <w:vMerge w:val="continue"/>
          </w:tcPr>
          <w:p>
            <w:pPr>
              <w:jc w:val="center"/>
              <w:rPr>
                <w:rFonts w:ascii="仿宋_GB2312" w:hAnsi="宋体" w:eastAsia="仿宋_GB2312"/>
                <w:color w:val="000000"/>
                <w:sz w:val="18"/>
                <w:szCs w:val="18"/>
              </w:rPr>
            </w:pPr>
          </w:p>
        </w:tc>
        <w:tc>
          <w:tcPr>
            <w:tcW w:w="1843" w:type="dxa"/>
            <w:vMerge w:val="continue"/>
            <w:vAlign w:val="center"/>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3</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领导分工</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领导姓名、职务、主管或分管工作等</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spacing w:line="240" w:lineRule="atLeast"/>
              <w:jc w:val="center"/>
              <w:textAlignment w:val="center"/>
              <w:rPr>
                <w:rFonts w:ascii="仿宋_GB2312" w:hAnsi="宋体" w:eastAsia="仿宋_GB2312"/>
                <w:color w:val="000000"/>
                <w:sz w:val="18"/>
                <w:szCs w:val="18"/>
              </w:rPr>
            </w:pPr>
          </w:p>
        </w:tc>
        <w:tc>
          <w:tcPr>
            <w:tcW w:w="992" w:type="dxa"/>
            <w:vMerge w:val="continue"/>
          </w:tcPr>
          <w:p>
            <w:pPr>
              <w:jc w:val="center"/>
              <w:rPr>
                <w:rFonts w:ascii="仿宋_GB2312" w:hAnsi="宋体" w:eastAsia="仿宋_GB2312"/>
                <w:color w:val="000000"/>
                <w:sz w:val="18"/>
                <w:szCs w:val="18"/>
              </w:rPr>
            </w:pPr>
          </w:p>
        </w:tc>
        <w:tc>
          <w:tcPr>
            <w:tcW w:w="1843" w:type="dxa"/>
            <w:vMerge w:val="continue"/>
            <w:vAlign w:val="center"/>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widowControl/>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4</w:t>
            </w:r>
          </w:p>
        </w:tc>
        <w:tc>
          <w:tcPr>
            <w:tcW w:w="70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内设</w:t>
            </w:r>
            <w:r>
              <w:rPr>
                <w:rFonts w:hint="eastAsia" w:ascii="仿宋_GB2312" w:hAnsi="宋体" w:eastAsia="仿宋_GB2312"/>
                <w:color w:val="000000"/>
                <w:sz w:val="18"/>
                <w:szCs w:val="18"/>
              </w:rPr>
              <w:t>机构</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内设机构名称及主要职责</w:t>
            </w:r>
            <w:r>
              <w:rPr>
                <w:rFonts w:hint="eastAsia" w:ascii="仿宋_GB2312" w:hAnsi="宋体" w:eastAsia="仿宋_GB2312"/>
                <w:color w:val="000000"/>
                <w:sz w:val="18"/>
                <w:szCs w:val="18"/>
              </w:rPr>
              <w:t>、联系电话</w:t>
            </w:r>
          </w:p>
        </w:tc>
        <w:tc>
          <w:tcPr>
            <w:tcW w:w="1843" w:type="dxa"/>
            <w:vMerge w:val="continue"/>
          </w:tcPr>
          <w:p>
            <w:pPr>
              <w:rPr>
                <w:rFonts w:ascii="仿宋_GB2312" w:hAnsi="宋体" w:eastAsia="仿宋_GB2312"/>
                <w:color w:val="000000"/>
                <w:sz w:val="18"/>
                <w:szCs w:val="18"/>
              </w:rPr>
            </w:pPr>
          </w:p>
        </w:tc>
        <w:tc>
          <w:tcPr>
            <w:tcW w:w="1559"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92" w:type="dxa"/>
            <w:vMerge w:val="continue"/>
          </w:tcPr>
          <w:p>
            <w:pPr>
              <w:widowControl/>
              <w:jc w:val="center"/>
              <w:rPr>
                <w:rFonts w:ascii="仿宋_GB2312" w:hAnsi="宋体" w:eastAsia="仿宋_GB2312"/>
                <w:color w:val="000000"/>
                <w:sz w:val="18"/>
                <w:szCs w:val="18"/>
              </w:rPr>
            </w:pPr>
          </w:p>
        </w:tc>
        <w:tc>
          <w:tcPr>
            <w:tcW w:w="1843" w:type="dxa"/>
            <w:vMerge w:val="continue"/>
            <w:vAlign w:val="center"/>
          </w:tcPr>
          <w:p>
            <w:pPr>
              <w:widowControl/>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spacing w:before="11"/>
              <w:rPr>
                <w:rFonts w:ascii="仿宋_GB2312" w:eastAsia="仿宋_GB2312" w:cstheme="minorBidi"/>
                <w:color w:val="000000"/>
                <w:kern w:val="2"/>
                <w:sz w:val="18"/>
                <w:szCs w:val="18"/>
                <w:lang w:val="en-US" w:bidi="ar-SA"/>
              </w:rPr>
            </w:pPr>
          </w:p>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5</w:t>
            </w:r>
          </w:p>
        </w:tc>
        <w:tc>
          <w:tcPr>
            <w:tcW w:w="709" w:type="dxa"/>
            <w:vMerge w:val="continue"/>
            <w:vAlign w:val="center"/>
          </w:tcPr>
          <w:p>
            <w:pPr>
              <w:jc w:val="center"/>
              <w:rPr>
                <w:rFonts w:ascii="仿宋_GB2312" w:hAnsi="宋体" w:eastAsia="仿宋_GB2312"/>
                <w:sz w:val="18"/>
                <w:szCs w:val="18"/>
              </w:rPr>
            </w:pPr>
          </w:p>
        </w:tc>
        <w:tc>
          <w:tcPr>
            <w:tcW w:w="709" w:type="dxa"/>
            <w:vMerge w:val="restart"/>
            <w:vAlign w:val="center"/>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综合信息</w:t>
            </w:r>
          </w:p>
          <w:p>
            <w:pPr>
              <w:pStyle w:val="22"/>
              <w:jc w:val="center"/>
              <w:rPr>
                <w:rFonts w:ascii="Times New Roman"/>
                <w:sz w:val="14"/>
              </w:rPr>
            </w:pPr>
          </w:p>
          <w:p>
            <w:pPr>
              <w:pStyle w:val="22"/>
              <w:jc w:val="center"/>
              <w:rPr>
                <w:rFonts w:ascii="Times New Roman"/>
                <w:sz w:val="14"/>
              </w:rPr>
            </w:pPr>
          </w:p>
          <w:p>
            <w:pPr>
              <w:pStyle w:val="22"/>
              <w:spacing w:before="6"/>
              <w:jc w:val="center"/>
              <w:rPr>
                <w:rFonts w:ascii="Times New Roman"/>
                <w:sz w:val="11"/>
              </w:rPr>
            </w:pPr>
          </w:p>
          <w:p>
            <w:pPr>
              <w:jc w:val="center"/>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sz w:val="18"/>
                <w:szCs w:val="18"/>
              </w:rPr>
              <w:t>政府信息公开指南</w:t>
            </w:r>
          </w:p>
        </w:tc>
        <w:tc>
          <w:tcPr>
            <w:tcW w:w="2376"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政府领导、政府机构、政府文件、规划计划、业务工作、统计数据、政务动态、为民办实事项目、其他</w:t>
            </w:r>
          </w:p>
        </w:tc>
        <w:tc>
          <w:tcPr>
            <w:tcW w:w="1843" w:type="dxa"/>
            <w:vMerge w:val="restart"/>
            <w:vAlign w:val="center"/>
          </w:tcPr>
          <w:p>
            <w:pPr>
              <w:pStyle w:val="22"/>
              <w:jc w:val="center"/>
              <w:rPr>
                <w:rFonts w:ascii="仿宋_GB2312" w:eastAsia="仿宋_GB2312"/>
                <w:color w:val="000000"/>
                <w:sz w:val="18"/>
                <w:szCs w:val="18"/>
              </w:rPr>
            </w:pPr>
          </w:p>
          <w:p>
            <w:pPr>
              <w:pStyle w:val="22"/>
              <w:jc w:val="center"/>
              <w:rPr>
                <w:rFonts w:ascii="仿宋_GB2312" w:eastAsia="仿宋_GB2312" w:cstheme="minorBidi"/>
                <w:color w:val="000000"/>
                <w:kern w:val="2"/>
                <w:sz w:val="18"/>
                <w:szCs w:val="18"/>
                <w:lang w:val="en-US" w:bidi="ar-SA"/>
              </w:rPr>
            </w:pPr>
            <w:r>
              <w:rPr>
                <w:rFonts w:hint="eastAsia" w:ascii="仿宋_GB2312" w:eastAsia="仿宋_GB2312"/>
                <w:color w:val="000000"/>
                <w:sz w:val="18"/>
                <w:szCs w:val="18"/>
              </w:rPr>
              <w:t>《中华人民共和国政府信息公开条例》（中华人民共和国国务院令第711号）</w:t>
            </w:r>
          </w:p>
          <w:p>
            <w:pPr>
              <w:pStyle w:val="22"/>
              <w:spacing w:before="6"/>
              <w:jc w:val="center"/>
              <w:rPr>
                <w:rFonts w:ascii="仿宋_GB2312" w:eastAsia="仿宋_GB2312" w:cstheme="minorBidi"/>
                <w:color w:val="000000"/>
                <w:kern w:val="2"/>
                <w:sz w:val="18"/>
                <w:szCs w:val="18"/>
                <w:lang w:val="en-US" w:bidi="ar-SA"/>
              </w:rPr>
            </w:pPr>
          </w:p>
          <w:p>
            <w:pPr>
              <w:pStyle w:val="22"/>
              <w:jc w:val="center"/>
              <w:rPr>
                <w:rFonts w:ascii="仿宋_GB2312" w:eastAsia="仿宋_GB2312" w:cstheme="minorBidi"/>
                <w:color w:val="000000"/>
                <w:kern w:val="2"/>
                <w:sz w:val="18"/>
                <w:szCs w:val="18"/>
                <w:lang w:val="en-US" w:bidi="ar-SA"/>
              </w:rPr>
            </w:pPr>
          </w:p>
          <w:p>
            <w:pPr>
              <w:jc w:val="center"/>
              <w:rPr>
                <w:rFonts w:ascii="仿宋_GB2312" w:hAnsi="宋体" w:eastAsia="仿宋_GB2312"/>
                <w:color w:val="000000"/>
                <w:sz w:val="18"/>
                <w:szCs w:val="18"/>
              </w:rPr>
            </w:pPr>
          </w:p>
        </w:tc>
        <w:tc>
          <w:tcPr>
            <w:tcW w:w="1559" w:type="dxa"/>
            <w:vAlign w:val="center"/>
          </w:tcPr>
          <w:p>
            <w:pPr>
              <w:widowControl/>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992" w:type="dxa"/>
            <w:vMerge w:val="restart"/>
          </w:tcPr>
          <w:p>
            <w:pPr>
              <w:widowControl/>
              <w:jc w:val="center"/>
              <w:rPr>
                <w:rFonts w:ascii="仿宋_GB2312" w:hAnsi="宋体" w:eastAsia="仿宋_GB2312"/>
                <w:color w:val="000000"/>
                <w:sz w:val="18"/>
                <w:szCs w:val="18"/>
              </w:rPr>
            </w:pPr>
          </w:p>
          <w:p>
            <w:pPr>
              <w:pStyle w:val="22"/>
              <w:rPr>
                <w:rFonts w:ascii="仿宋_GB2312" w:eastAsia="仿宋_GB2312" w:cstheme="minorBidi"/>
                <w:color w:val="000000"/>
                <w:kern w:val="2"/>
                <w:sz w:val="18"/>
                <w:szCs w:val="18"/>
                <w:lang w:val="en-US" w:bidi="ar-SA"/>
              </w:rPr>
            </w:pPr>
          </w:p>
          <w:p>
            <w:pPr>
              <w:pStyle w:val="22"/>
              <w:spacing w:before="11"/>
              <w:rPr>
                <w:rFonts w:ascii="仿宋_GB2312" w:eastAsia="仿宋_GB2312" w:cstheme="minorBidi"/>
                <w:color w:val="000000"/>
                <w:kern w:val="2"/>
                <w:sz w:val="18"/>
                <w:szCs w:val="18"/>
                <w:lang w:val="en-US" w:bidi="ar-SA"/>
              </w:rPr>
            </w:pPr>
          </w:p>
          <w:p>
            <w:pPr>
              <w:pStyle w:val="22"/>
              <w:rPr>
                <w:rFonts w:ascii="仿宋_GB2312" w:eastAsia="仿宋_GB2312" w:cstheme="minorBidi"/>
                <w:color w:val="000000"/>
                <w:kern w:val="2"/>
                <w:sz w:val="18"/>
                <w:szCs w:val="18"/>
                <w:lang w:val="en-US" w:bidi="ar-SA"/>
              </w:rPr>
            </w:pPr>
          </w:p>
          <w:p>
            <w:pPr>
              <w:pStyle w:val="22"/>
              <w:rPr>
                <w:rFonts w:hint="eastAsia" w:ascii="仿宋_GB2312" w:eastAsia="仿宋_GB2312" w:cstheme="minorBidi"/>
                <w:color w:val="000000"/>
                <w:kern w:val="2"/>
                <w:sz w:val="18"/>
                <w:szCs w:val="18"/>
                <w:lang w:val="en-US" w:eastAsia="zh-CN" w:bidi="ar-SA"/>
              </w:rPr>
            </w:pPr>
            <w:r>
              <w:rPr>
                <w:rFonts w:hint="eastAsia" w:ascii="仿宋_GB2312" w:eastAsia="仿宋_GB2312"/>
                <w:color w:val="000000"/>
                <w:sz w:val="18"/>
                <w:szCs w:val="18"/>
                <w:lang w:eastAsia="zh-CN"/>
              </w:rPr>
              <w:t>江洪镇人民政府</w:t>
            </w:r>
          </w:p>
          <w:p>
            <w:pPr>
              <w:pStyle w:val="22"/>
              <w:rPr>
                <w:rFonts w:ascii="仿宋_GB2312" w:eastAsia="仿宋_GB2312" w:cstheme="minorBidi"/>
                <w:color w:val="000000"/>
                <w:kern w:val="2"/>
                <w:sz w:val="18"/>
                <w:szCs w:val="18"/>
                <w:lang w:val="en-US" w:bidi="ar-SA"/>
              </w:rPr>
            </w:pPr>
          </w:p>
          <w:p>
            <w:pPr>
              <w:rPr>
                <w:rFonts w:ascii="仿宋_GB2312" w:hAnsi="宋体" w:eastAsia="仿宋_GB2312"/>
                <w:color w:val="000000"/>
                <w:sz w:val="18"/>
                <w:szCs w:val="18"/>
              </w:rPr>
            </w:pPr>
          </w:p>
        </w:tc>
        <w:tc>
          <w:tcPr>
            <w:tcW w:w="184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p>
        </w:tc>
        <w:tc>
          <w:tcPr>
            <w:tcW w:w="709" w:type="dxa"/>
            <w:vAlign w:val="center"/>
          </w:tcPr>
          <w:p>
            <w:pPr>
              <w:widowControl/>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pStyle w:val="22"/>
              <w:rPr>
                <w:rFonts w:ascii="仿宋_GB2312" w:eastAsia="仿宋_GB2312" w:cstheme="minorBidi"/>
                <w:color w:val="000000"/>
                <w:kern w:val="2"/>
                <w:sz w:val="18"/>
                <w:szCs w:val="18"/>
                <w:lang w:val="en-US" w:bidi="ar-SA"/>
              </w:rPr>
            </w:pPr>
          </w:p>
          <w:p>
            <w:pPr>
              <w:pStyle w:val="22"/>
              <w:spacing w:before="6"/>
              <w:rPr>
                <w:rFonts w:ascii="仿宋_GB2312" w:eastAsia="仿宋_GB2312" w:cstheme="minorBidi"/>
                <w:color w:val="000000"/>
                <w:kern w:val="2"/>
                <w:sz w:val="18"/>
                <w:szCs w:val="18"/>
                <w:lang w:val="en-US" w:bidi="ar-SA"/>
              </w:rPr>
            </w:pPr>
          </w:p>
          <w:p>
            <w:pPr>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6</w:t>
            </w:r>
          </w:p>
        </w:tc>
        <w:tc>
          <w:tcPr>
            <w:tcW w:w="709" w:type="dxa"/>
            <w:vMerge w:val="continue"/>
          </w:tcPr>
          <w:p>
            <w:pPr>
              <w:jc w:val="left"/>
              <w:rPr>
                <w:rFonts w:ascii="仿宋_GB2312" w:hAnsi="宋体" w:eastAsia="仿宋_GB2312"/>
                <w:sz w:val="18"/>
                <w:szCs w:val="18"/>
              </w:rPr>
            </w:pPr>
          </w:p>
        </w:tc>
        <w:tc>
          <w:tcPr>
            <w:tcW w:w="709" w:type="dxa"/>
            <w:vMerge w:val="continue"/>
            <w:vAlign w:val="center"/>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政府信息公开年报</w:t>
            </w:r>
          </w:p>
        </w:tc>
        <w:tc>
          <w:tcPr>
            <w:tcW w:w="237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历年</w:t>
            </w:r>
            <w:r>
              <w:rPr>
                <w:rFonts w:hint="eastAsia" w:ascii="仿宋_GB2312" w:hAnsi="宋体" w:eastAsia="仿宋_GB2312"/>
                <w:color w:val="000000"/>
                <w:sz w:val="18"/>
                <w:szCs w:val="18"/>
              </w:rPr>
              <w:t>街道</w:t>
            </w:r>
            <w:r>
              <w:rPr>
                <w:rFonts w:ascii="仿宋_GB2312" w:hAnsi="宋体" w:eastAsia="仿宋_GB2312"/>
                <w:color w:val="000000"/>
                <w:sz w:val="18"/>
                <w:szCs w:val="18"/>
              </w:rPr>
              <w:t>信息公开工作年度报告</w:t>
            </w:r>
          </w:p>
        </w:tc>
        <w:tc>
          <w:tcPr>
            <w:tcW w:w="1843" w:type="dxa"/>
            <w:vMerge w:val="continue"/>
          </w:tcPr>
          <w:p>
            <w:pPr>
              <w:jc w:val="center"/>
              <w:rPr>
                <w:rFonts w:ascii="仿宋_GB2312" w:hAnsi="宋体" w:eastAsia="仿宋_GB2312"/>
                <w:color w:val="000000"/>
                <w:sz w:val="18"/>
                <w:szCs w:val="18"/>
              </w:rPr>
            </w:pPr>
          </w:p>
        </w:tc>
        <w:tc>
          <w:tcPr>
            <w:tcW w:w="1559" w:type="dxa"/>
          </w:tcPr>
          <w:p>
            <w:pPr>
              <w:widowControl/>
              <w:spacing w:line="240" w:lineRule="atLeast"/>
              <w:textAlignment w:val="center"/>
              <w:rPr>
                <w:rFonts w:ascii="仿宋_GB2312" w:hAnsi="宋体" w:eastAsia="仿宋_GB2312"/>
                <w:color w:val="000000"/>
                <w:sz w:val="18"/>
                <w:szCs w:val="18"/>
              </w:rPr>
            </w:pPr>
            <w:r>
              <w:rPr>
                <w:rFonts w:ascii="仿宋_GB2312" w:hAnsi="宋体" w:eastAsia="仿宋_GB2312"/>
                <w:color w:val="000000"/>
                <w:sz w:val="18"/>
                <w:szCs w:val="18"/>
              </w:rPr>
              <w:t>每年3月底前公开上年度报告</w:t>
            </w:r>
          </w:p>
        </w:tc>
        <w:tc>
          <w:tcPr>
            <w:tcW w:w="992" w:type="dxa"/>
            <w:vMerge w:val="continue"/>
          </w:tcPr>
          <w:p>
            <w:pPr>
              <w:jc w:val="center"/>
              <w:rPr>
                <w:rFonts w:ascii="仿宋_GB2312" w:hAnsi="宋体" w:eastAsia="仿宋_GB2312"/>
                <w:color w:val="000000"/>
                <w:sz w:val="18"/>
                <w:szCs w:val="18"/>
              </w:rPr>
            </w:pPr>
          </w:p>
        </w:tc>
        <w:tc>
          <w:tcPr>
            <w:tcW w:w="1843" w:type="dxa"/>
            <w:vMerge w:val="continue"/>
          </w:tcPr>
          <w:p>
            <w:pPr>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6" w:type="dxa"/>
            <w:vAlign w:val="center"/>
          </w:tcPr>
          <w:p>
            <w:pPr>
              <w:widowControl/>
              <w:jc w:val="center"/>
              <w:rPr>
                <w:rFonts w:ascii="仿宋_GB2312" w:hAnsi="宋体" w:eastAsia="仿宋_GB2312"/>
                <w:sz w:val="18"/>
                <w:szCs w:val="18"/>
              </w:rPr>
            </w:pPr>
            <w:r>
              <w:rPr>
                <w:rFonts w:hint="eastAsia" w:ascii="仿宋_GB2312" w:hAnsi="宋体" w:eastAsia="仿宋_GB2312"/>
                <w:sz w:val="18"/>
                <w:szCs w:val="18"/>
              </w:rPr>
              <w:t>7</w:t>
            </w:r>
          </w:p>
        </w:tc>
        <w:tc>
          <w:tcPr>
            <w:tcW w:w="709" w:type="dxa"/>
            <w:vMerge w:val="continue"/>
          </w:tcPr>
          <w:p>
            <w:pPr>
              <w:jc w:val="left"/>
              <w:rPr>
                <w:rFonts w:ascii="仿宋_GB2312" w:hAnsi="宋体" w:eastAsia="仿宋_GB2312"/>
                <w:sz w:val="18"/>
                <w:szCs w:val="18"/>
              </w:rPr>
            </w:pPr>
          </w:p>
        </w:tc>
        <w:tc>
          <w:tcPr>
            <w:tcW w:w="709" w:type="dxa"/>
            <w:vMerge w:val="continue"/>
          </w:tcPr>
          <w:p>
            <w:pPr>
              <w:jc w:val="left"/>
              <w:rPr>
                <w:rFonts w:ascii="仿宋_GB2312" w:hAnsi="宋体" w:eastAsia="仿宋_GB2312"/>
                <w:sz w:val="18"/>
                <w:szCs w:val="18"/>
              </w:rPr>
            </w:pPr>
          </w:p>
        </w:tc>
        <w:tc>
          <w:tcPr>
            <w:tcW w:w="1309"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规章文件</w:t>
            </w:r>
          </w:p>
        </w:tc>
        <w:tc>
          <w:tcPr>
            <w:tcW w:w="2376" w:type="dxa"/>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街道</w:t>
            </w:r>
            <w:r>
              <w:rPr>
                <w:rFonts w:ascii="仿宋_GB2312" w:hAnsi="宋体" w:eastAsia="仿宋_GB2312"/>
                <w:color w:val="000000"/>
                <w:sz w:val="18"/>
                <w:szCs w:val="18"/>
              </w:rPr>
              <w:t>制定的文件（规范性文件、其他政策文件）</w:t>
            </w:r>
          </w:p>
        </w:tc>
        <w:tc>
          <w:tcPr>
            <w:tcW w:w="1843" w:type="dxa"/>
            <w:vMerge w:val="continue"/>
          </w:tcPr>
          <w:p>
            <w:pPr>
              <w:jc w:val="center"/>
              <w:rPr>
                <w:rFonts w:ascii="仿宋_GB2312" w:hAnsi="宋体" w:eastAsia="仿宋_GB2312"/>
                <w:color w:val="000000"/>
                <w:sz w:val="18"/>
                <w:szCs w:val="18"/>
              </w:rPr>
            </w:pPr>
          </w:p>
        </w:tc>
        <w:tc>
          <w:tcPr>
            <w:tcW w:w="1559" w:type="dxa"/>
          </w:tcPr>
          <w:p>
            <w:pPr>
              <w:widowControl/>
              <w:spacing w:line="240" w:lineRule="atLeast"/>
              <w:textAlignment w:val="cente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992" w:type="dxa"/>
            <w:vMerge w:val="continue"/>
          </w:tcPr>
          <w:p>
            <w:pPr>
              <w:widowControl/>
              <w:jc w:val="center"/>
              <w:rPr>
                <w:rFonts w:ascii="仿宋_GB2312" w:hAnsi="宋体" w:eastAsia="仿宋_GB2312"/>
                <w:color w:val="000000"/>
                <w:sz w:val="18"/>
                <w:szCs w:val="18"/>
              </w:rPr>
            </w:pPr>
          </w:p>
        </w:tc>
        <w:tc>
          <w:tcPr>
            <w:tcW w:w="1843" w:type="dxa"/>
            <w:vMerge w:val="continue"/>
          </w:tcPr>
          <w:p>
            <w:pPr>
              <w:widowControl/>
              <w:jc w:val="center"/>
              <w:rPr>
                <w:rFonts w:ascii="仿宋_GB2312" w:hAnsi="宋体" w:eastAsia="仿宋_GB2312"/>
                <w:color w:val="000000"/>
                <w:sz w:val="18"/>
                <w:szCs w:val="18"/>
              </w:rPr>
            </w:pPr>
          </w:p>
        </w:tc>
        <w:tc>
          <w:tcPr>
            <w:tcW w:w="709" w:type="dxa"/>
            <w:vAlign w:val="center"/>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1" w:type="dxa"/>
          </w:tcPr>
          <w:p>
            <w:pPr>
              <w:widowControl/>
              <w:jc w:val="center"/>
              <w:rPr>
                <w:rFonts w:ascii="仿宋_GB2312" w:hAnsi="宋体" w:eastAsia="仿宋_GB2312"/>
                <w:color w:val="000000"/>
                <w:sz w:val="18"/>
                <w:szCs w:val="18"/>
              </w:rPr>
            </w:pPr>
          </w:p>
        </w:tc>
        <w:tc>
          <w:tcPr>
            <w:tcW w:w="708" w:type="dxa"/>
          </w:tcPr>
          <w:p>
            <w:pPr>
              <w:widowControl/>
              <w:jc w:val="center"/>
              <w:rPr>
                <w:rFonts w:ascii="仿宋_GB2312" w:hAnsi="宋体" w:eastAsia="仿宋_GB2312"/>
                <w:color w:val="000000"/>
                <w:sz w:val="18"/>
                <w:szCs w:val="18"/>
              </w:rPr>
            </w:pPr>
          </w:p>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72" w:type="dxa"/>
          </w:tcPr>
          <w:p>
            <w:pPr>
              <w:widowControl/>
              <w:jc w:val="center"/>
              <w:rPr>
                <w:rFonts w:ascii="仿宋_GB2312" w:hAnsi="宋体" w:eastAsia="仿宋_GB2312"/>
                <w:color w:val="000000"/>
                <w:sz w:val="18"/>
                <w:szCs w:val="18"/>
              </w:rPr>
            </w:pPr>
          </w:p>
        </w:tc>
        <w:tc>
          <w:tcPr>
            <w:tcW w:w="646" w:type="dxa"/>
          </w:tcPr>
          <w:p>
            <w:pPr>
              <w:widowControl/>
              <w:jc w:val="center"/>
              <w:rPr>
                <w:rFonts w:ascii="仿宋_GB2312" w:hAnsi="宋体" w:eastAsia="仿宋_GB2312"/>
                <w:color w:val="000000"/>
                <w:sz w:val="18"/>
                <w:szCs w:val="18"/>
              </w:rPr>
            </w:pPr>
          </w:p>
        </w:tc>
        <w:tc>
          <w:tcPr>
            <w:tcW w:w="79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bookmarkStart w:id="1" w:name="_Toc24724708"/>
      <w:bookmarkStart w:id="2" w:name="_Toc28396"/>
      <w:r>
        <w:rPr>
          <w:rFonts w:hint="eastAsia" w:ascii="方正小标宋_GBK" w:hAnsi="方正小标宋_GBK" w:eastAsia="方正小标宋_GBK"/>
          <w:b w:val="0"/>
          <w:bCs w:val="0"/>
          <w:sz w:val="32"/>
          <w:szCs w:val="48"/>
        </w:rPr>
        <w:t>（二）社会救助领域基层政务公开标准目录</w:t>
      </w:r>
      <w:bookmarkEnd w:id="1"/>
      <w:bookmarkEnd w:id="2"/>
    </w:p>
    <w:tbl>
      <w:tblPr>
        <w:tblStyle w:val="10"/>
        <w:tblW w:w="1601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739"/>
        <w:gridCol w:w="720"/>
        <w:gridCol w:w="720"/>
        <w:gridCol w:w="2313"/>
        <w:gridCol w:w="2367"/>
        <w:gridCol w:w="1440"/>
        <w:gridCol w:w="1620"/>
        <w:gridCol w:w="1706"/>
        <w:gridCol w:w="634"/>
        <w:gridCol w:w="709"/>
        <w:gridCol w:w="528"/>
        <w:gridCol w:w="743"/>
        <w:gridCol w:w="53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blHeader/>
        </w:trPr>
        <w:tc>
          <w:tcPr>
            <w:tcW w:w="538" w:type="dxa"/>
            <w:vMerge w:val="restart"/>
            <w:vAlign w:val="center"/>
          </w:tcPr>
          <w:p>
            <w:pPr>
              <w:widowControl/>
              <w:ind w:right="-31" w:rightChars="-15" w:firstLine="11" w:firstLineChars="5"/>
              <w:jc w:val="center"/>
              <w:rPr>
                <w:rFonts w:ascii="Times New Roman" w:hAnsi="Times New Roman"/>
                <w:color w:val="000000"/>
                <w:kern w:val="0"/>
                <w:sz w:val="22"/>
              </w:rPr>
            </w:pPr>
            <w:r>
              <w:rPr>
                <w:rFonts w:ascii="黑体" w:hAnsi="宋体" w:eastAsia="黑体" w:cs="宋体"/>
                <w:color w:val="000000"/>
                <w:kern w:val="0"/>
                <w:sz w:val="22"/>
              </w:rPr>
              <w:t>序号</w:t>
            </w:r>
          </w:p>
        </w:tc>
        <w:tc>
          <w:tcPr>
            <w:tcW w:w="739" w:type="dxa"/>
            <w:vMerge w:val="restart"/>
            <w:vAlign w:val="center"/>
          </w:tcPr>
          <w:p>
            <w:pPr>
              <w:widowControl/>
              <w:ind w:firstLine="24" w:firstLineChars="11"/>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36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0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4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blHeader/>
        </w:trPr>
        <w:tc>
          <w:tcPr>
            <w:tcW w:w="538" w:type="dxa"/>
            <w:vMerge w:val="continue"/>
            <w:vAlign w:val="center"/>
          </w:tcPr>
          <w:p>
            <w:pPr>
              <w:widowControl/>
              <w:ind w:right="-31" w:rightChars="-15" w:firstLine="11" w:firstLineChars="5"/>
              <w:jc w:val="left"/>
              <w:rPr>
                <w:rFonts w:ascii="Times New Roman" w:hAnsi="Times New Roman"/>
                <w:color w:val="000000"/>
                <w:kern w:val="0"/>
                <w:sz w:val="22"/>
              </w:rPr>
            </w:pPr>
          </w:p>
        </w:tc>
        <w:tc>
          <w:tcPr>
            <w:tcW w:w="739" w:type="dxa"/>
            <w:vMerge w:val="continue"/>
          </w:tcPr>
          <w:p>
            <w:pPr>
              <w:widowControl/>
              <w:ind w:firstLine="24" w:firstLineChars="11"/>
              <w:jc w:val="center"/>
              <w:rPr>
                <w:rFonts w:ascii="黑体" w:hAnsi="宋体" w:eastAsia="黑体" w:cs="宋体"/>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3" w:type="dxa"/>
            <w:vMerge w:val="continue"/>
            <w:vAlign w:val="center"/>
          </w:tcPr>
          <w:p>
            <w:pPr>
              <w:widowControl/>
              <w:jc w:val="left"/>
              <w:rPr>
                <w:rFonts w:ascii="黑体" w:hAnsi="宋体" w:eastAsia="黑体" w:cs="宋体"/>
                <w:color w:val="000000"/>
                <w:kern w:val="0"/>
                <w:sz w:val="22"/>
              </w:rPr>
            </w:pPr>
          </w:p>
        </w:tc>
        <w:tc>
          <w:tcPr>
            <w:tcW w:w="2367"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06" w:type="dxa"/>
            <w:vMerge w:val="continue"/>
            <w:vAlign w:val="center"/>
          </w:tcPr>
          <w:p>
            <w:pPr>
              <w:widowControl/>
              <w:jc w:val="left"/>
              <w:rPr>
                <w:rFonts w:ascii="黑体" w:hAnsi="宋体" w:eastAsia="黑体" w:cs="宋体"/>
                <w:kern w:val="0"/>
                <w:sz w:val="22"/>
              </w:rPr>
            </w:pPr>
          </w:p>
        </w:tc>
        <w:tc>
          <w:tcPr>
            <w:tcW w:w="6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4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3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39" w:type="dxa"/>
            <w:vMerge w:val="restart"/>
            <w:vAlign w:val="center"/>
          </w:tcPr>
          <w:p>
            <w:pPr>
              <w:ind w:firstLine="19" w:firstLineChars="11"/>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w:t>
            </w:r>
          </w:p>
          <w:p>
            <w:pPr>
              <w:ind w:firstLine="19" w:firstLineChars="11"/>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《社会救助暂行办法》、《广东省社会救助条例》</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jc w:val="left"/>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低生活保障审核审批办法（试行）》、《广东省社会救助条例》、《广东省最低生活保障制度实施办法》、《广东省最低生活保障家庭经济状况核对和生活状况评估认定办法》</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2313"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低生活保障审核审批办法（试行）》、《广东省最低生活保障制度实施办法》、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■社区公示栏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审批信息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sz w:val="18"/>
                <w:szCs w:val="18"/>
              </w:rPr>
              <w:t>《最</w:t>
            </w:r>
            <w:r>
              <w:rPr>
                <w:rFonts w:hint="eastAsia" w:ascii="仿宋_GB2312" w:hAnsi="宋体" w:eastAsia="仿宋_GB2312"/>
                <w:color w:val="000000"/>
                <w:sz w:val="18"/>
                <w:szCs w:val="18"/>
              </w:rPr>
              <w:t>低生活保障审核审批办法（试行）》、《广东省最低生活保障制度实施办法》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Merge w:val="continue"/>
            <w:vAlign w:val="center"/>
          </w:tcPr>
          <w:p>
            <w:pPr>
              <w:rPr>
                <w:rFonts w:ascii="仿宋_GB2312" w:hAnsi="宋体" w:eastAsia="仿宋_GB2312"/>
                <w:color w:val="000000"/>
                <w:sz w:val="18"/>
                <w:szCs w:val="18"/>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39" w:type="dxa"/>
            <w:vMerge w:val="restart"/>
            <w:vAlign w:val="center"/>
          </w:tcPr>
          <w:p>
            <w:pPr>
              <w:ind w:firstLine="19" w:firstLineChars="11"/>
              <w:jc w:val="center"/>
              <w:rPr>
                <w:rFonts w:ascii="仿宋_GB2312" w:hAnsi="宋体" w:eastAsia="仿宋_GB2312"/>
                <w:color w:val="000000"/>
                <w:sz w:val="18"/>
                <w:szCs w:val="18"/>
              </w:rPr>
            </w:pPr>
            <w:r>
              <w:rPr>
                <w:rFonts w:hint="eastAsia" w:ascii="仿宋_GB2312" w:hAnsi="宋体" w:eastAsia="仿宋_GB2312"/>
                <w:color w:val="000000"/>
                <w:sz w:val="18"/>
                <w:szCs w:val="18"/>
              </w:rPr>
              <w:t>社会救助</w:t>
            </w:r>
          </w:p>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批准特困供养待遇</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《广东省人民政府关于进一步健全特困人员救助供养制度的实施意见》</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■社区公示栏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39" w:type="dxa"/>
            <w:vMerge w:val="continue"/>
            <w:vAlign w:val="center"/>
          </w:tcPr>
          <w:p>
            <w:pPr>
              <w:ind w:firstLine="19" w:firstLineChars="11"/>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《广东省临时救助暂行办法》</w:t>
            </w:r>
          </w:p>
        </w:tc>
        <w:tc>
          <w:tcPr>
            <w:tcW w:w="23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39" w:type="dxa"/>
            <w:vMerge w:val="continue"/>
          </w:tcPr>
          <w:p>
            <w:pPr>
              <w:ind w:firstLine="19" w:firstLineChars="11"/>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《广东省社会救助条例》、《广东省临时救助暂行办法》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000000" w:themeColor="text1"/>
                <w:sz w:val="18"/>
                <w:szCs w:val="18"/>
                <w14:textFill>
                  <w14:solidFill>
                    <w14:schemeClr w14:val="tx1"/>
                  </w14:solidFill>
                </w14:textFill>
              </w:rPr>
            </w:pP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jc w:val="cente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538" w:type="dxa"/>
            <w:vAlign w:val="center"/>
          </w:tcPr>
          <w:p>
            <w:pPr>
              <w:ind w:right="-31" w:rightChars="-15" w:firstLine="9" w:firstLineChars="5"/>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39" w:type="dxa"/>
            <w:vMerge w:val="continue"/>
          </w:tcPr>
          <w:p>
            <w:pPr>
              <w:rPr>
                <w:rFonts w:ascii="仿宋_GB2312" w:hAnsi="宋体" w:eastAsia="仿宋_GB2312"/>
                <w:color w:val="000000"/>
                <w:sz w:val="18"/>
                <w:szCs w:val="18"/>
              </w:rPr>
            </w:pP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31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临时救助对象名单、救助金额、救助事由 </w:t>
            </w:r>
          </w:p>
        </w:tc>
        <w:tc>
          <w:tcPr>
            <w:tcW w:w="23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《广东省临时救助暂行办法》</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0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■社区公示栏</w:t>
            </w:r>
          </w:p>
        </w:tc>
        <w:tc>
          <w:tcPr>
            <w:tcW w:w="63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p>
        </w:tc>
        <w:tc>
          <w:tcPr>
            <w:tcW w:w="52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43" w:type="dxa"/>
            <w:vAlign w:val="center"/>
          </w:tcPr>
          <w:p>
            <w:pPr>
              <w:rPr>
                <w:rFonts w:ascii="仿宋_GB2312" w:hAnsi="宋体" w:eastAsia="仿宋_GB2312"/>
                <w:color w:val="000000"/>
                <w:sz w:val="18"/>
                <w:szCs w:val="18"/>
              </w:rPr>
            </w:pPr>
          </w:p>
        </w:tc>
        <w:tc>
          <w:tcPr>
            <w:tcW w:w="533" w:type="dxa"/>
            <w:vAlign w:val="center"/>
          </w:tcPr>
          <w:p>
            <w:pPr>
              <w:jc w:val="center"/>
              <w:rPr>
                <w:rFonts w:ascii="仿宋_GB2312" w:hAnsi="宋体" w:eastAsia="仿宋_GB2312"/>
                <w:color w:val="000000"/>
                <w:sz w:val="18"/>
                <w:szCs w:val="18"/>
              </w:rPr>
            </w:pPr>
          </w:p>
        </w:tc>
        <w:tc>
          <w:tcPr>
            <w:tcW w:w="709" w:type="dxa"/>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
      <w:pPr>
        <w:pStyle w:val="2"/>
        <w:tabs>
          <w:tab w:val="center" w:pos="7001"/>
        </w:tabs>
        <w:jc w:val="center"/>
        <w:rPr>
          <w:rFonts w:ascii="方正小标宋_GBK" w:hAnsi="方正小标宋_GBK" w:eastAsia="方正小标宋_GBK"/>
          <w:b w:val="0"/>
          <w:bCs w:val="0"/>
          <w:sz w:val="30"/>
        </w:rPr>
      </w:pPr>
      <w:bookmarkStart w:id="3" w:name="_Toc31840"/>
      <w:bookmarkStart w:id="4" w:name="_Toc55207544"/>
      <w:r>
        <w:rPr>
          <w:rFonts w:hint="eastAsia" w:ascii="方正小标宋_GBK" w:hAnsi="方正小标宋_GBK" w:eastAsia="方正小标宋_GBK"/>
          <w:b w:val="0"/>
          <w:bCs w:val="0"/>
          <w:sz w:val="30"/>
        </w:rPr>
        <w:t>（三）养老服务领域基层政务公开标准目录</w:t>
      </w:r>
      <w:bookmarkEnd w:id="3"/>
      <w:bookmarkEnd w:id="4"/>
    </w:p>
    <w:tbl>
      <w:tblPr>
        <w:tblStyle w:val="10"/>
        <w:tblW w:w="16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09"/>
        <w:gridCol w:w="1004"/>
        <w:gridCol w:w="672"/>
        <w:gridCol w:w="2390"/>
        <w:gridCol w:w="1985"/>
        <w:gridCol w:w="1734"/>
        <w:gridCol w:w="1637"/>
        <w:gridCol w:w="1635"/>
        <w:gridCol w:w="696"/>
        <w:gridCol w:w="710"/>
        <w:gridCol w:w="545"/>
        <w:gridCol w:w="723"/>
        <w:gridCol w:w="54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5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3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3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0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5"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100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6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90" w:type="dxa"/>
            <w:vMerge w:val="continue"/>
            <w:vAlign w:val="center"/>
          </w:tcPr>
          <w:p>
            <w:pPr>
              <w:widowControl/>
              <w:jc w:val="left"/>
              <w:rPr>
                <w:rFonts w:ascii="黑体" w:hAnsi="宋体" w:eastAsia="黑体" w:cs="宋体"/>
                <w:color w:val="000000"/>
                <w:kern w:val="0"/>
                <w:sz w:val="22"/>
              </w:rPr>
            </w:pPr>
          </w:p>
        </w:tc>
        <w:tc>
          <w:tcPr>
            <w:tcW w:w="1985" w:type="dxa"/>
            <w:vMerge w:val="continue"/>
            <w:vAlign w:val="center"/>
          </w:tcPr>
          <w:p>
            <w:pPr>
              <w:widowControl/>
              <w:jc w:val="left"/>
              <w:rPr>
                <w:rFonts w:ascii="黑体" w:hAnsi="宋体" w:eastAsia="黑体" w:cs="宋体"/>
                <w:color w:val="000000"/>
                <w:kern w:val="0"/>
                <w:sz w:val="22"/>
              </w:rPr>
            </w:pPr>
          </w:p>
        </w:tc>
        <w:tc>
          <w:tcPr>
            <w:tcW w:w="1734"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635" w:type="dxa"/>
            <w:vMerge w:val="continue"/>
            <w:vAlign w:val="center"/>
          </w:tcPr>
          <w:p>
            <w:pPr>
              <w:widowControl/>
              <w:jc w:val="left"/>
              <w:rPr>
                <w:rFonts w:ascii="黑体" w:hAnsi="宋体" w:eastAsia="黑体" w:cs="宋体"/>
                <w:kern w:val="0"/>
                <w:sz w:val="22"/>
              </w:rPr>
            </w:pPr>
          </w:p>
        </w:tc>
        <w:tc>
          <w:tcPr>
            <w:tcW w:w="6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55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w:t>
            </w:r>
          </w:p>
        </w:tc>
        <w:tc>
          <w:tcPr>
            <w:tcW w:w="100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39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《中华人民共和国老年人权益保障法》、《广东省老年人优待办法》、《 广东省老年人权益保障条例》</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《中华人民共和国政府信息公开条例》（中华人民共和国国务院令第711号）及相关规定</w:t>
            </w:r>
          </w:p>
        </w:tc>
        <w:tc>
          <w:tcPr>
            <w:tcW w:w="173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6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6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9" w:hRule="atLeast"/>
          <w:jc w:val="center"/>
        </w:trPr>
        <w:tc>
          <w:tcPr>
            <w:tcW w:w="55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100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67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39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高龄津贴,各项老年人补贴方式；补贴申请材料清单及格式；办理流程、办理部门、办理时限、办理时间、地点、咨询电话</w:t>
            </w:r>
          </w:p>
        </w:tc>
        <w:tc>
          <w:tcPr>
            <w:tcW w:w="19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73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637" w:type="dxa"/>
            <w:vAlign w:val="center"/>
          </w:tcPr>
          <w:p>
            <w:pPr>
              <w:jc w:val="center"/>
              <w:rPr>
                <w:rFonts w:ascii="仿宋_GB2312" w:hAnsi="宋体" w:eastAsia="仿宋_GB2312"/>
                <w:color w:val="00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635"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000000" w:themeColor="text1"/>
                <w:sz w:val="18"/>
                <w:szCs w:val="18"/>
                <w14:textFill>
                  <w14:solidFill>
                    <w14:schemeClr w14:val="tx1"/>
                  </w14:solidFill>
                </w14:textFill>
              </w:rPr>
            </w:pPr>
          </w:p>
        </w:tc>
        <w:tc>
          <w:tcPr>
            <w:tcW w:w="6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jc w:val="center"/>
              <w:rPr>
                <w:rFonts w:ascii="仿宋_GB2312" w:hAnsi="宋体" w:eastAsia="仿宋_GB2312"/>
                <w:color w:val="000000"/>
                <w:sz w:val="18"/>
                <w:szCs w:val="18"/>
              </w:rPr>
            </w:pPr>
          </w:p>
        </w:tc>
        <w:tc>
          <w:tcPr>
            <w:tcW w:w="54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jc w:val="center"/>
              <w:rPr>
                <w:rFonts w:ascii="仿宋_GB2312" w:hAnsi="宋体" w:eastAsia="仿宋_GB2312"/>
                <w:color w:val="000000"/>
                <w:sz w:val="18"/>
                <w:szCs w:val="18"/>
              </w:rPr>
            </w:pPr>
          </w:p>
        </w:tc>
        <w:tc>
          <w:tcPr>
            <w:tcW w:w="541"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
    <w:p/>
    <w:p/>
    <w:p>
      <w:pPr>
        <w:adjustRightInd w:val="0"/>
        <w:snapToGrid w:val="0"/>
        <w:spacing w:line="600" w:lineRule="exact"/>
        <w:jc w:val="left"/>
        <w:rPr>
          <w:rFonts w:ascii="方正小标宋_GBK" w:hAnsi="方正小标宋_GBK" w:eastAsia="方正小标宋_GBK"/>
          <w:sz w:val="30"/>
        </w:rPr>
      </w:pPr>
    </w:p>
    <w:p>
      <w:pPr>
        <w:pStyle w:val="2"/>
        <w:jc w:val="center"/>
        <w:rPr>
          <w:rFonts w:ascii="方正小标宋_GBK" w:hAnsi="方正小标宋_GBK" w:eastAsia="方正小标宋_GBK"/>
          <w:b w:val="0"/>
          <w:bCs w:val="0"/>
          <w:sz w:val="30"/>
        </w:rPr>
      </w:pPr>
      <w:bookmarkStart w:id="5" w:name="_Toc24724729"/>
      <w:bookmarkStart w:id="6" w:name="_Toc10043"/>
      <w:r>
        <w:rPr>
          <w:rFonts w:hint="eastAsia" w:ascii="方正小标宋_GBK" w:hAnsi="方正小标宋_GBK" w:eastAsia="方正小标宋_GBK"/>
          <w:b w:val="0"/>
          <w:bCs w:val="0"/>
          <w:sz w:val="30"/>
        </w:rPr>
        <w:t>（四）</w:t>
      </w:r>
      <w:r>
        <w:rPr>
          <w:rFonts w:hint="eastAsia" w:ascii="方正小标宋_GBK" w:hAnsi="方正小标宋_GBK" w:eastAsia="方正小标宋_GBK"/>
          <w:b w:val="0"/>
          <w:bCs w:val="0"/>
          <w:sz w:val="30"/>
          <w:lang w:eastAsia="zh-CN"/>
        </w:rPr>
        <w:t>乡村振兴</w:t>
      </w:r>
      <w:r>
        <w:rPr>
          <w:rFonts w:hint="eastAsia" w:ascii="方正小标宋_GBK" w:hAnsi="方正小标宋_GBK" w:eastAsia="方正小标宋_GBK"/>
          <w:b w:val="0"/>
          <w:bCs w:val="0"/>
          <w:sz w:val="30"/>
        </w:rPr>
        <w:t>领域基层政务公开标准目录</w:t>
      </w:r>
      <w:bookmarkEnd w:id="5"/>
      <w:bookmarkEnd w:id="6"/>
    </w:p>
    <w:tbl>
      <w:tblPr>
        <w:tblStyle w:val="10"/>
        <w:tblW w:w="16260" w:type="dxa"/>
        <w:tblInd w:w="-10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5"/>
        <w:gridCol w:w="1005"/>
        <w:gridCol w:w="660"/>
        <w:gridCol w:w="2385"/>
        <w:gridCol w:w="2010"/>
        <w:gridCol w:w="1710"/>
        <w:gridCol w:w="1485"/>
        <w:gridCol w:w="1800"/>
        <w:gridCol w:w="705"/>
        <w:gridCol w:w="705"/>
        <w:gridCol w:w="525"/>
        <w:gridCol w:w="750"/>
        <w:gridCol w:w="555"/>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735"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65"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85"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1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10"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85" w:type="dxa"/>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0"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45" w:type="dxa"/>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ign w:val="center"/>
          </w:tcPr>
          <w:p>
            <w:pPr>
              <w:widowControl/>
              <w:jc w:val="left"/>
              <w:rPr>
                <w:rFonts w:ascii="Times New Roman" w:hAnsi="Times New Roman"/>
                <w:color w:val="000000"/>
                <w:kern w:val="0"/>
                <w:sz w:val="22"/>
              </w:rPr>
            </w:pPr>
          </w:p>
        </w:tc>
        <w:tc>
          <w:tcPr>
            <w:tcW w:w="735" w:type="dxa"/>
            <w:vMerge w:val="continue"/>
            <w:shd w:val="clear" w:color="auto" w:fill="auto"/>
            <w:noWrap/>
            <w:vAlign w:val="center"/>
          </w:tcPr>
          <w:p>
            <w:pPr>
              <w:widowControl/>
              <w:jc w:val="center"/>
              <w:rPr>
                <w:rFonts w:ascii="黑体" w:hAnsi="宋体" w:eastAsia="黑体" w:cs="宋体"/>
                <w:color w:val="000000"/>
                <w:kern w:val="0"/>
                <w:sz w:val="22"/>
              </w:rPr>
            </w:pPr>
          </w:p>
        </w:tc>
        <w:tc>
          <w:tcPr>
            <w:tcW w:w="100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66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85" w:type="dxa"/>
            <w:vMerge w:val="continue"/>
            <w:shd w:val="clear" w:color="auto" w:fill="auto"/>
            <w:noWrap/>
            <w:vAlign w:val="center"/>
          </w:tcPr>
          <w:p>
            <w:pPr>
              <w:widowControl/>
              <w:jc w:val="left"/>
              <w:rPr>
                <w:rFonts w:ascii="黑体" w:hAnsi="宋体" w:eastAsia="黑体" w:cs="宋体"/>
                <w:color w:val="000000"/>
                <w:kern w:val="0"/>
                <w:sz w:val="22"/>
              </w:rPr>
            </w:pPr>
          </w:p>
        </w:tc>
        <w:tc>
          <w:tcPr>
            <w:tcW w:w="2010" w:type="dxa"/>
            <w:vMerge w:val="continue"/>
            <w:shd w:val="clear" w:color="auto" w:fill="auto"/>
            <w:noWrap/>
            <w:vAlign w:val="center"/>
          </w:tcPr>
          <w:p>
            <w:pPr>
              <w:widowControl/>
              <w:jc w:val="left"/>
              <w:rPr>
                <w:rFonts w:ascii="黑体" w:hAnsi="宋体" w:eastAsia="黑体" w:cs="宋体"/>
                <w:color w:val="000000"/>
                <w:kern w:val="0"/>
                <w:sz w:val="22"/>
              </w:rPr>
            </w:pPr>
          </w:p>
        </w:tc>
        <w:tc>
          <w:tcPr>
            <w:tcW w:w="1710" w:type="dxa"/>
            <w:vMerge w:val="continue"/>
            <w:shd w:val="clear" w:color="auto" w:fill="auto"/>
            <w:noWrap/>
            <w:vAlign w:val="center"/>
          </w:tcPr>
          <w:p>
            <w:pPr>
              <w:widowControl/>
              <w:jc w:val="left"/>
              <w:rPr>
                <w:rFonts w:ascii="黑体" w:hAnsi="宋体" w:eastAsia="黑体" w:cs="宋体"/>
                <w:color w:val="000000"/>
                <w:kern w:val="0"/>
                <w:sz w:val="22"/>
              </w:rPr>
            </w:pPr>
          </w:p>
        </w:tc>
        <w:tc>
          <w:tcPr>
            <w:tcW w:w="1485" w:type="dxa"/>
            <w:vMerge w:val="continue"/>
            <w:shd w:val="clear" w:color="auto" w:fill="auto"/>
            <w:noWrap/>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ign w:val="center"/>
          </w:tcPr>
          <w:p>
            <w:pPr>
              <w:widowControl/>
              <w:jc w:val="left"/>
              <w:rPr>
                <w:rFonts w:ascii="黑体" w:hAnsi="宋体" w:eastAsia="黑体" w:cs="宋体"/>
                <w:kern w:val="0"/>
                <w:sz w:val="22"/>
              </w:rPr>
            </w:pPr>
          </w:p>
        </w:tc>
        <w:tc>
          <w:tcPr>
            <w:tcW w:w="70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2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5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55"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c>
          <w:tcPr>
            <w:tcW w:w="690" w:type="dxa"/>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35" w:type="dxa"/>
            <w:vMerge w:val="restart"/>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乡村振兴</w:t>
            </w:r>
          </w:p>
        </w:tc>
        <w:tc>
          <w:tcPr>
            <w:tcW w:w="10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w:t>
            </w:r>
            <w:r>
              <w:rPr>
                <w:rFonts w:hint="eastAsia" w:ascii="仿宋_GB2312" w:eastAsia="仿宋_GB2312"/>
                <w:color w:val="000000"/>
                <w:sz w:val="18"/>
                <w:szCs w:val="18"/>
                <w:lang w:eastAsia="zh-CN"/>
              </w:rPr>
              <w:t>巩固拓展脱贫攻坚成果同乡村振兴有效衔接</w:t>
            </w:r>
            <w:r>
              <w:rPr>
                <w:rFonts w:hint="eastAsia" w:ascii="仿宋_GB2312" w:eastAsia="仿宋_GB2312"/>
                <w:color w:val="000000"/>
                <w:sz w:val="18"/>
                <w:szCs w:val="18"/>
              </w:rPr>
              <w:t>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w:t>
            </w:r>
            <w:r>
              <w:rPr>
                <w:rFonts w:hint="eastAsia" w:ascii="仿宋_GB2312" w:eastAsia="仿宋_GB2312"/>
                <w:color w:val="000000"/>
                <w:sz w:val="18"/>
                <w:szCs w:val="18"/>
                <w:lang w:eastAsia="zh-CN"/>
              </w:rPr>
              <w:t>巩固拓展脱贫攻坚成果同乡村振兴有效衔接</w:t>
            </w:r>
            <w:r>
              <w:rPr>
                <w:rFonts w:hint="eastAsia" w:ascii="仿宋_GB2312" w:eastAsia="仿宋_GB2312"/>
                <w:color w:val="000000"/>
                <w:sz w:val="18"/>
                <w:szCs w:val="18"/>
              </w:rPr>
              <w:t>领域的规章</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《中华人民共和国政府信息公开条例》(国令第711号)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hint="eastAsia" w:ascii="仿宋_GB2312" w:eastAsia="仿宋_GB2312"/>
                <w:sz w:val="18"/>
                <w:szCs w:val="18"/>
                <w:lang w:eastAsia="zh-CN"/>
              </w:rPr>
            </w:pPr>
            <w:r>
              <w:rPr>
                <w:rFonts w:hint="eastAsia" w:ascii="仿宋_GB2312" w:eastAsia="仿宋_GB2312"/>
                <w:sz w:val="18"/>
                <w:szCs w:val="18"/>
                <w:lang w:eastAsia="zh-CN"/>
              </w:rPr>
              <w:t>江洪镇人民政府</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w:t>
            </w:r>
            <w:r>
              <w:rPr>
                <w:rFonts w:hint="eastAsia" w:ascii="仿宋_GB2312" w:eastAsia="仿宋_GB2312"/>
                <w:color w:val="000000"/>
                <w:sz w:val="18"/>
                <w:szCs w:val="18"/>
                <w:lang w:eastAsia="zh-CN"/>
              </w:rPr>
              <w:t>巩固拓展脱贫攻坚成果同乡村振兴有效衔接</w:t>
            </w:r>
            <w:r>
              <w:rPr>
                <w:rFonts w:hint="eastAsia" w:ascii="仿宋_GB2312" w:eastAsia="仿宋_GB2312"/>
                <w:color w:val="000000"/>
                <w:sz w:val="18"/>
                <w:szCs w:val="18"/>
              </w:rPr>
              <w:t>领域的规范性文件</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《中华人民共和国政府信息公开条例》(国令第711号)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江洪镇人民政府</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w:t>
            </w:r>
            <w:r>
              <w:rPr>
                <w:rFonts w:hint="eastAsia" w:ascii="仿宋_GB2312" w:eastAsia="仿宋_GB2312"/>
                <w:color w:val="000000"/>
                <w:sz w:val="18"/>
                <w:szCs w:val="18"/>
                <w:lang w:eastAsia="zh-CN"/>
              </w:rPr>
              <w:t>巩固拓展脱贫攻坚成果同乡村振兴有效衔接</w:t>
            </w:r>
            <w:r>
              <w:rPr>
                <w:rFonts w:hint="eastAsia" w:ascii="仿宋_GB2312" w:eastAsia="仿宋_GB2312"/>
                <w:color w:val="000000"/>
                <w:sz w:val="18"/>
                <w:szCs w:val="18"/>
              </w:rPr>
              <w:t>领域领域其他政策文件</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《中华人民共和国政府信息公开条例》(国令第711号)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江洪镇人民政府</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监测</w:t>
            </w:r>
            <w:r>
              <w:rPr>
                <w:rFonts w:hint="eastAsia" w:ascii="仿宋_GB2312" w:eastAsia="仿宋_GB2312"/>
                <w:color w:val="000000"/>
                <w:sz w:val="18"/>
                <w:szCs w:val="18"/>
              </w:rPr>
              <w:t>对象</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监测对象</w:t>
            </w:r>
            <w:r>
              <w:rPr>
                <w:rFonts w:hint="eastAsia" w:ascii="仿宋_GB2312" w:eastAsia="仿宋_GB2312"/>
                <w:color w:val="000000"/>
                <w:sz w:val="18"/>
                <w:szCs w:val="18"/>
              </w:rPr>
              <w:t>识别</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w:t>
            </w:r>
            <w:r>
              <w:rPr>
                <w:rFonts w:hint="eastAsia" w:ascii="仿宋_GB2312" w:eastAsia="仿宋_GB2312"/>
                <w:color w:val="000000"/>
                <w:sz w:val="18"/>
                <w:szCs w:val="18"/>
                <w:lang w:eastAsia="zh-CN"/>
              </w:rPr>
              <w:t>初步筛选、村级申报、部门比对、乡镇审核、县级审批、公告标识等</w:t>
            </w:r>
            <w:r>
              <w:rPr>
                <w:rFonts w:hint="eastAsia" w:ascii="仿宋_GB2312" w:eastAsia="仿宋_GB2312"/>
                <w:color w:val="000000"/>
                <w:sz w:val="18"/>
                <w:szCs w:val="18"/>
              </w:rPr>
              <w:t>）</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w:t>
            </w:r>
            <w:r>
              <w:rPr>
                <w:rFonts w:hint="eastAsia" w:ascii="仿宋_GB2312" w:eastAsia="仿宋_GB2312"/>
                <w:color w:val="000000"/>
                <w:sz w:val="18"/>
                <w:szCs w:val="18"/>
                <w:lang w:eastAsia="zh-CN"/>
              </w:rPr>
              <w:t>监测对象名单</w:t>
            </w:r>
            <w:r>
              <w:rPr>
                <w:rFonts w:hint="eastAsia" w:ascii="仿宋_GB2312" w:eastAsia="仿宋_GB2312"/>
                <w:color w:val="000000"/>
                <w:sz w:val="18"/>
                <w:szCs w:val="18"/>
              </w:rPr>
              <w:t>)</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《中央农村工作领导小组关于健全防止返贫动态监测和帮扶机制的指导意见》</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监测对象</w:t>
            </w:r>
            <w:r>
              <w:rPr>
                <w:rFonts w:hint="eastAsia" w:ascii="仿宋_GB2312" w:eastAsia="仿宋_GB2312"/>
                <w:color w:val="000000"/>
                <w:sz w:val="18"/>
                <w:szCs w:val="18"/>
              </w:rPr>
              <w:t>所在行政村</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35" w:type="dxa"/>
            <w:vMerge w:val="restart"/>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乡村振兴</w:t>
            </w: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监测对象消除风险</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br w:type="textWrapping"/>
            </w:r>
            <w:r>
              <w:rPr>
                <w:rFonts w:hint="eastAsia" w:ascii="仿宋_GB2312" w:eastAsia="仿宋_GB2312"/>
                <w:color w:val="000000"/>
                <w:sz w:val="18"/>
                <w:szCs w:val="18"/>
              </w:rPr>
              <w:t>·</w:t>
            </w:r>
            <w:r>
              <w:rPr>
                <w:rFonts w:hint="eastAsia" w:ascii="仿宋_GB2312" w:eastAsia="仿宋_GB2312"/>
                <w:color w:val="000000"/>
                <w:sz w:val="18"/>
                <w:szCs w:val="18"/>
                <w:lang w:eastAsia="zh-CN"/>
              </w:rPr>
              <w:t>风险消除</w:t>
            </w:r>
            <w:r>
              <w:rPr>
                <w:rFonts w:hint="eastAsia" w:ascii="仿宋_GB2312" w:eastAsia="仿宋_GB2312"/>
                <w:color w:val="000000"/>
                <w:sz w:val="18"/>
                <w:szCs w:val="18"/>
              </w:rPr>
              <w:t>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w:t>
            </w:r>
            <w:r>
              <w:rPr>
                <w:rFonts w:hint="eastAsia" w:ascii="仿宋_GB2312" w:eastAsia="仿宋_GB2312"/>
                <w:color w:val="000000"/>
                <w:sz w:val="18"/>
                <w:szCs w:val="18"/>
                <w:lang w:eastAsia="zh-CN"/>
              </w:rPr>
              <w:t>风险消除</w:t>
            </w:r>
            <w:r>
              <w:rPr>
                <w:rFonts w:hint="eastAsia" w:ascii="仿宋_GB2312" w:eastAsia="仿宋_GB2312"/>
                <w:color w:val="000000"/>
                <w:sz w:val="18"/>
                <w:szCs w:val="18"/>
              </w:rPr>
              <w:t>程序（民主评议、村</w:t>
            </w:r>
            <w:r>
              <w:rPr>
                <w:rFonts w:hint="eastAsia" w:ascii="仿宋_GB2312" w:eastAsia="仿宋_GB2312"/>
                <w:color w:val="000000"/>
                <w:sz w:val="18"/>
                <w:szCs w:val="18"/>
                <w:lang w:eastAsia="zh-CN"/>
              </w:rPr>
              <w:t>公示、乡镇审核、县级审批</w:t>
            </w:r>
            <w:r>
              <w:rPr>
                <w:rFonts w:hint="eastAsia" w:ascii="仿宋_GB2312" w:eastAsia="仿宋_GB2312"/>
                <w:color w:val="000000"/>
                <w:sz w:val="18"/>
                <w:szCs w:val="18"/>
              </w:rPr>
              <w:t>）</w:t>
            </w:r>
            <w:r>
              <w:rPr>
                <w:rFonts w:hint="eastAsia" w:ascii="仿宋_GB2312" w:eastAsia="仿宋_GB2312"/>
                <w:color w:val="000000"/>
                <w:sz w:val="18"/>
                <w:szCs w:val="18"/>
              </w:rPr>
              <w:br w:type="textWrapping"/>
            </w:r>
            <w:r>
              <w:rPr>
                <w:rFonts w:hint="eastAsia" w:ascii="仿宋_GB2312" w:eastAsia="仿宋_GB2312"/>
                <w:color w:val="000000"/>
                <w:sz w:val="18"/>
                <w:szCs w:val="18"/>
              </w:rPr>
              <w:t>·</w:t>
            </w:r>
            <w:r>
              <w:rPr>
                <w:rFonts w:hint="eastAsia" w:ascii="仿宋_GB2312" w:eastAsia="仿宋_GB2312"/>
                <w:color w:val="000000"/>
                <w:sz w:val="18"/>
                <w:szCs w:val="18"/>
                <w:lang w:eastAsia="zh-CN"/>
              </w:rPr>
              <w:t>风险消除结果</w:t>
            </w:r>
            <w:r>
              <w:rPr>
                <w:rFonts w:hint="eastAsia" w:ascii="仿宋_GB2312" w:eastAsia="仿宋_GB2312"/>
                <w:color w:val="000000"/>
                <w:sz w:val="18"/>
                <w:szCs w:val="18"/>
              </w:rPr>
              <w:t>（</w:t>
            </w:r>
            <w:r>
              <w:rPr>
                <w:rFonts w:hint="eastAsia" w:ascii="仿宋_GB2312" w:eastAsia="仿宋_GB2312"/>
                <w:color w:val="000000"/>
                <w:sz w:val="18"/>
                <w:szCs w:val="18"/>
                <w:lang w:eastAsia="zh-CN"/>
              </w:rPr>
              <w:t>监测对象</w:t>
            </w:r>
            <w:r>
              <w:rPr>
                <w:rFonts w:hint="eastAsia" w:ascii="仿宋_GB2312" w:eastAsia="仿宋_GB2312"/>
                <w:color w:val="000000"/>
                <w:sz w:val="18"/>
                <w:szCs w:val="18"/>
              </w:rPr>
              <w:t>名单）</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《中央农村工作领导小组关于健全防止返贫动态监测和帮扶机制的指导意见》</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监测对象</w:t>
            </w:r>
            <w:r>
              <w:rPr>
                <w:rFonts w:hint="eastAsia" w:ascii="仿宋_GB2312" w:eastAsia="仿宋_GB2312"/>
                <w:color w:val="000000"/>
                <w:sz w:val="18"/>
                <w:szCs w:val="18"/>
              </w:rPr>
              <w:t>所在行政村</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财政巩固拓展脱贫攻坚成果同乡村振兴有效衔接补助扶持资金</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财政巩固拓展脱贫攻坚成果同乡村振兴有效衔接补助扶持资金分配结果</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485" w:type="dxa"/>
            <w:shd w:val="clear" w:color="auto" w:fill="auto"/>
            <w:noWrap/>
            <w:vAlign w:val="center"/>
          </w:tcPr>
          <w:p>
            <w:pPr>
              <w:widowControl/>
              <w:jc w:val="center"/>
              <w:rPr>
                <w:rFonts w:ascii="仿宋_GB2312" w:eastAsia="仿宋_GB2312"/>
                <w:sz w:val="18"/>
                <w:szCs w:val="18"/>
              </w:rPr>
            </w:pPr>
            <w:r>
              <w:rPr>
                <w:rFonts w:hint="eastAsia" w:ascii="仿宋_GB2312" w:eastAsia="仿宋_GB2312"/>
                <w:sz w:val="18"/>
                <w:szCs w:val="18"/>
                <w:lang w:eastAsia="zh-CN"/>
              </w:rPr>
              <w:t>江洪镇人民政府</w:t>
            </w:r>
            <w:r>
              <w:rPr>
                <w:rFonts w:hint="eastAsia" w:ascii="仿宋_GB2312" w:eastAsia="仿宋_GB2312"/>
                <w:sz w:val="18"/>
                <w:szCs w:val="18"/>
              </w:rPr>
              <w:t>、村委会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restart"/>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财政巩固拓展脱贫攻坚成果同乡村振兴有效衔接补助扶持资金</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项目资金计划安排情况（资金计划批复文件）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江洪镇人民政府</w:t>
            </w:r>
            <w:r>
              <w:rPr>
                <w:rFonts w:hint="eastAsia" w:ascii="仿宋_GB2312" w:eastAsia="仿宋_GB2312"/>
                <w:color w:val="000000"/>
                <w:sz w:val="18"/>
                <w:szCs w:val="18"/>
              </w:rPr>
              <w:t>、村委会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小额信款</w:t>
            </w:r>
          </w:p>
        </w:tc>
        <w:tc>
          <w:tcPr>
            <w:tcW w:w="2385" w:type="dxa"/>
            <w:shd w:val="clear" w:color="auto" w:fill="auto"/>
            <w:noWrap/>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w:t>
            </w:r>
            <w:r>
              <w:rPr>
                <w:rFonts w:hint="eastAsia" w:ascii="仿宋_GB2312" w:eastAsia="仿宋_GB2312"/>
                <w:color w:val="000000"/>
                <w:sz w:val="18"/>
                <w:szCs w:val="18"/>
                <w:lang w:eastAsia="zh-CN"/>
              </w:rPr>
              <w:t>小额信贷贴息</w:t>
            </w:r>
            <w:r>
              <w:rPr>
                <w:rFonts w:hint="eastAsia" w:ascii="仿宋_GB2312" w:eastAsia="仿宋_GB2312"/>
                <w:color w:val="000000"/>
                <w:sz w:val="18"/>
                <w:szCs w:val="18"/>
              </w:rPr>
              <w:t>贷款的企业、专业合作社等经营主体的名称、贷款额度、期限、贴息规模和带贫减贫机制等情况</w:t>
            </w: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p>
            <w:pPr>
              <w:widowControl/>
              <w:jc w:val="left"/>
              <w:rPr>
                <w:rFonts w:hint="eastAsia" w:ascii="仿宋_GB2312" w:eastAsia="仿宋_GB2312"/>
                <w:color w:val="000000"/>
                <w:sz w:val="18"/>
                <w:szCs w:val="18"/>
              </w:rPr>
            </w:pP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48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江洪镇人民政府</w:t>
            </w:r>
            <w:r>
              <w:rPr>
                <w:rFonts w:hint="eastAsia" w:ascii="仿宋_GB2312" w:eastAsia="仿宋_GB2312"/>
                <w:color w:val="000000"/>
                <w:sz w:val="18"/>
                <w:szCs w:val="18"/>
              </w:rPr>
              <w:t>、村委会</w:t>
            </w:r>
          </w:p>
        </w:tc>
        <w:tc>
          <w:tcPr>
            <w:tcW w:w="1800" w:type="dxa"/>
            <w:shd w:val="clear" w:color="auto" w:fill="auto"/>
            <w:noWrap/>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■政府网站</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0" w:type="dxa"/>
            <w:vMerge w:val="restart"/>
            <w:shd w:val="clear" w:color="auto" w:fill="auto"/>
            <w:noWrap/>
            <w:vAlign w:val="center"/>
          </w:tcPr>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r>
              <w:rPr>
                <w:rFonts w:hint="eastAsia" w:ascii="仿宋_GB2312" w:eastAsia="仿宋_GB2312"/>
                <w:color w:val="000000"/>
                <w:sz w:val="18"/>
                <w:szCs w:val="18"/>
                <w:highlight w:val="none"/>
                <w:lang w:val="en-US" w:eastAsia="zh-CN"/>
              </w:rPr>
              <w:t>9</w:t>
            </w: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p>
            <w:pPr>
              <w:widowControl/>
              <w:jc w:val="center"/>
              <w:rPr>
                <w:rFonts w:hint="eastAsia" w:ascii="仿宋_GB2312" w:eastAsia="仿宋_GB2312"/>
                <w:color w:val="000000"/>
                <w:sz w:val="18"/>
                <w:szCs w:val="18"/>
                <w:highlight w:val="none"/>
                <w:lang w:val="en-US" w:eastAsia="zh-CN"/>
              </w:rPr>
            </w:pPr>
          </w:p>
        </w:tc>
        <w:tc>
          <w:tcPr>
            <w:tcW w:w="735" w:type="dxa"/>
            <w:vMerge w:val="restart"/>
            <w:shd w:val="clear" w:color="auto" w:fill="auto"/>
            <w:noWrap/>
            <w:vAlign w:val="center"/>
          </w:tcPr>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p>
          <w:p>
            <w:pPr>
              <w:widowControl/>
              <w:jc w:val="center"/>
              <w:rPr>
                <w:rFonts w:hint="eastAsia" w:ascii="仿宋_GB2312" w:eastAsia="仿宋_GB2312"/>
                <w:color w:val="000000"/>
                <w:sz w:val="18"/>
                <w:szCs w:val="18"/>
                <w:highlight w:val="none"/>
                <w:lang w:eastAsia="zh-CN"/>
              </w:rPr>
            </w:pPr>
            <w:r>
              <w:rPr>
                <w:rFonts w:hint="eastAsia" w:ascii="仿宋_GB2312" w:eastAsia="仿宋_GB2312"/>
                <w:color w:val="000000"/>
                <w:sz w:val="18"/>
                <w:szCs w:val="18"/>
                <w:highlight w:val="none"/>
                <w:lang w:eastAsia="zh-CN"/>
              </w:rPr>
              <w:t>乡村振兴</w:t>
            </w:r>
          </w:p>
        </w:tc>
        <w:tc>
          <w:tcPr>
            <w:tcW w:w="1005" w:type="dxa"/>
            <w:vMerge w:val="continue"/>
            <w:shd w:val="clear" w:color="auto" w:fill="auto"/>
            <w:noWrap/>
            <w:vAlign w:val="center"/>
          </w:tcPr>
          <w:p>
            <w:pPr>
              <w:widowControl/>
              <w:jc w:val="left"/>
              <w:rPr>
                <w:rFonts w:ascii="仿宋_GB2312" w:eastAsia="仿宋_GB2312"/>
                <w:color w:val="000000"/>
                <w:sz w:val="18"/>
                <w:szCs w:val="18"/>
                <w:highlight w:val="yellow"/>
              </w:rPr>
            </w:pPr>
          </w:p>
        </w:tc>
        <w:tc>
          <w:tcPr>
            <w:tcW w:w="660"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85" w:type="dxa"/>
            <w:vMerge w:val="restart"/>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w:t>
            </w:r>
            <w:r>
              <w:rPr>
                <w:rFonts w:hint="eastAsia" w:ascii="仿宋_GB2312" w:eastAsia="仿宋_GB2312"/>
                <w:color w:val="000000"/>
                <w:sz w:val="18"/>
                <w:szCs w:val="18"/>
                <w:lang w:eastAsia="zh-CN"/>
              </w:rPr>
              <w:t>镇</w:t>
            </w:r>
            <w:r>
              <w:rPr>
                <w:rFonts w:hint="eastAsia" w:ascii="仿宋_GB2312" w:eastAsia="仿宋_GB2312"/>
                <w:color w:val="000000"/>
                <w:sz w:val="18"/>
                <w:szCs w:val="18"/>
              </w:rPr>
              <w:t>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2010" w:type="dxa"/>
            <w:vMerge w:val="restart"/>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国家林草局关于加强中央财政衔接推进乡村振兴补助资金使用管理的指导意见财农〔2022〕14号》《国家乡村振兴局关于做好县级巩固拓展脱贫攻坚成果和乡村振兴项目库建设管理的通知 国乡振发〔2021〕3号》</w:t>
            </w:r>
          </w:p>
        </w:tc>
        <w:tc>
          <w:tcPr>
            <w:tcW w:w="1710" w:type="dxa"/>
            <w:vMerge w:val="restart"/>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江洪镇人民政府</w:t>
            </w:r>
            <w:r>
              <w:rPr>
                <w:rFonts w:hint="eastAsia" w:ascii="仿宋_GB2312" w:eastAsia="仿宋_GB2312"/>
                <w:color w:val="000000"/>
                <w:sz w:val="18"/>
                <w:szCs w:val="18"/>
              </w:rPr>
              <w:t>、村委会</w:t>
            </w:r>
          </w:p>
        </w:tc>
        <w:tc>
          <w:tcPr>
            <w:tcW w:w="1800" w:type="dxa"/>
            <w:vMerge w:val="restart"/>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vMerge w:val="restart"/>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vMerge w:val="restart"/>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vMerge w:val="restart"/>
            <w:shd w:val="clear" w:color="auto" w:fill="auto"/>
            <w:noWrap/>
            <w:vAlign w:val="center"/>
          </w:tcPr>
          <w:p>
            <w:pPr>
              <w:widowControl/>
              <w:jc w:val="center"/>
              <w:rPr>
                <w:rFonts w:ascii="仿宋_GB2312" w:eastAsia="仿宋_GB2312"/>
                <w:color w:val="000000"/>
                <w:sz w:val="18"/>
                <w:szCs w:val="18"/>
              </w:rPr>
            </w:pPr>
          </w:p>
        </w:tc>
        <w:tc>
          <w:tcPr>
            <w:tcW w:w="690" w:type="dxa"/>
            <w:vMerge w:val="restart"/>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40" w:type="dxa"/>
            <w:vMerge w:val="continue"/>
            <w:shd w:val="clear" w:color="auto" w:fill="auto"/>
            <w:noWrap/>
            <w:vAlign w:val="center"/>
          </w:tcPr>
          <w:p>
            <w:pPr>
              <w:widowControl/>
              <w:jc w:val="center"/>
              <w:rPr>
                <w:rFonts w:ascii="仿宋_GB2312" w:eastAsia="仿宋_GB2312"/>
                <w:color w:val="000000"/>
                <w:sz w:val="18"/>
                <w:szCs w:val="18"/>
              </w:rPr>
            </w:pP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vMerge w:val="restart"/>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财政巩固拓展脱贫攻坚成果同乡村振兴有效衔接补助扶持资金项目</w:t>
            </w:r>
          </w:p>
        </w:tc>
        <w:tc>
          <w:tcPr>
            <w:tcW w:w="660" w:type="dxa"/>
            <w:vMerge w:val="continue"/>
            <w:shd w:val="clear" w:color="auto" w:fill="auto"/>
            <w:noWrap/>
            <w:vAlign w:val="center"/>
          </w:tcPr>
          <w:p>
            <w:pPr>
              <w:widowControl/>
              <w:jc w:val="center"/>
              <w:rPr>
                <w:rFonts w:ascii="仿宋_GB2312" w:eastAsia="仿宋_GB2312"/>
                <w:color w:val="000000"/>
                <w:sz w:val="18"/>
                <w:szCs w:val="18"/>
              </w:rPr>
            </w:pPr>
          </w:p>
        </w:tc>
        <w:tc>
          <w:tcPr>
            <w:tcW w:w="2385" w:type="dxa"/>
            <w:vMerge w:val="continue"/>
            <w:shd w:val="clear" w:color="auto" w:fill="auto"/>
            <w:noWrap/>
            <w:vAlign w:val="center"/>
          </w:tcPr>
          <w:p>
            <w:pPr>
              <w:widowControl/>
              <w:jc w:val="left"/>
              <w:rPr>
                <w:rFonts w:ascii="仿宋_GB2312" w:eastAsia="仿宋_GB2312"/>
                <w:color w:val="000000"/>
                <w:sz w:val="18"/>
                <w:szCs w:val="18"/>
              </w:rPr>
            </w:pPr>
          </w:p>
        </w:tc>
        <w:tc>
          <w:tcPr>
            <w:tcW w:w="2010" w:type="dxa"/>
            <w:vMerge w:val="continue"/>
            <w:shd w:val="clear" w:color="auto" w:fill="auto"/>
            <w:noWrap/>
            <w:vAlign w:val="center"/>
          </w:tcPr>
          <w:p>
            <w:pPr>
              <w:widowControl/>
              <w:jc w:val="left"/>
              <w:rPr>
                <w:rFonts w:ascii="仿宋_GB2312" w:eastAsia="仿宋_GB2312"/>
                <w:color w:val="000000"/>
                <w:sz w:val="18"/>
                <w:szCs w:val="18"/>
              </w:rPr>
            </w:pPr>
          </w:p>
        </w:tc>
        <w:tc>
          <w:tcPr>
            <w:tcW w:w="1710" w:type="dxa"/>
            <w:vMerge w:val="continue"/>
            <w:shd w:val="clear" w:color="auto" w:fill="auto"/>
            <w:noWrap/>
            <w:vAlign w:val="center"/>
          </w:tcPr>
          <w:p>
            <w:pPr>
              <w:widowControl/>
              <w:jc w:val="left"/>
              <w:rPr>
                <w:rFonts w:ascii="仿宋_GB2312" w:eastAsia="仿宋_GB2312"/>
                <w:color w:val="000000"/>
                <w:sz w:val="18"/>
                <w:szCs w:val="18"/>
              </w:rPr>
            </w:pPr>
          </w:p>
        </w:tc>
        <w:tc>
          <w:tcPr>
            <w:tcW w:w="1485" w:type="dxa"/>
            <w:vMerge w:val="continue"/>
            <w:shd w:val="clear" w:color="auto" w:fill="auto"/>
            <w:noWrap/>
            <w:vAlign w:val="center"/>
          </w:tcPr>
          <w:p>
            <w:pPr>
              <w:widowControl/>
              <w:jc w:val="center"/>
              <w:rPr>
                <w:rFonts w:ascii="仿宋_GB2312" w:eastAsia="仿宋_GB2312"/>
                <w:color w:val="000000"/>
                <w:sz w:val="18"/>
                <w:szCs w:val="18"/>
              </w:rPr>
            </w:pPr>
          </w:p>
        </w:tc>
        <w:tc>
          <w:tcPr>
            <w:tcW w:w="1800" w:type="dxa"/>
            <w:vMerge w:val="continue"/>
            <w:shd w:val="clear" w:color="auto" w:fill="auto"/>
            <w:noWrap/>
            <w:vAlign w:val="center"/>
          </w:tcPr>
          <w:p>
            <w:pPr>
              <w:widowControl/>
              <w:jc w:val="left"/>
              <w:rPr>
                <w:rFonts w:ascii="仿宋_GB2312" w:eastAsia="仿宋_GB2312"/>
                <w:color w:val="000000"/>
                <w:sz w:val="18"/>
                <w:szCs w:val="18"/>
              </w:rPr>
            </w:pPr>
          </w:p>
        </w:tc>
        <w:tc>
          <w:tcPr>
            <w:tcW w:w="705" w:type="dxa"/>
            <w:vMerge w:val="continue"/>
            <w:shd w:val="clear" w:color="auto" w:fill="auto"/>
            <w:noWrap/>
            <w:vAlign w:val="center"/>
          </w:tcPr>
          <w:p>
            <w:pPr>
              <w:widowControl/>
              <w:jc w:val="center"/>
              <w:rPr>
                <w:rFonts w:ascii="仿宋_GB2312" w:eastAsia="仿宋_GB2312"/>
                <w:color w:val="000000"/>
                <w:sz w:val="18"/>
                <w:szCs w:val="18"/>
              </w:rPr>
            </w:pPr>
          </w:p>
        </w:tc>
        <w:tc>
          <w:tcPr>
            <w:tcW w:w="705" w:type="dxa"/>
            <w:vMerge w:val="continue"/>
            <w:shd w:val="clear" w:color="auto" w:fill="auto"/>
            <w:noWrap/>
            <w:vAlign w:val="center"/>
          </w:tcPr>
          <w:p>
            <w:pPr>
              <w:widowControl/>
              <w:jc w:val="center"/>
              <w:rPr>
                <w:rFonts w:ascii="仿宋_GB2312" w:eastAsia="仿宋_GB2312"/>
                <w:color w:val="000000"/>
                <w:sz w:val="18"/>
                <w:szCs w:val="18"/>
              </w:rPr>
            </w:pPr>
          </w:p>
        </w:tc>
        <w:tc>
          <w:tcPr>
            <w:tcW w:w="525" w:type="dxa"/>
            <w:vMerge w:val="continue"/>
            <w:shd w:val="clear" w:color="auto" w:fill="auto"/>
            <w:noWrap/>
            <w:vAlign w:val="center"/>
          </w:tcPr>
          <w:p>
            <w:pPr>
              <w:widowControl/>
              <w:jc w:val="center"/>
              <w:rPr>
                <w:rFonts w:ascii="仿宋_GB2312" w:eastAsia="仿宋_GB2312"/>
                <w:color w:val="000000"/>
                <w:sz w:val="18"/>
                <w:szCs w:val="18"/>
              </w:rPr>
            </w:pPr>
          </w:p>
        </w:tc>
        <w:tc>
          <w:tcPr>
            <w:tcW w:w="750" w:type="dxa"/>
            <w:vMerge w:val="continue"/>
            <w:shd w:val="clear" w:color="auto" w:fill="auto"/>
            <w:noWrap/>
            <w:vAlign w:val="center"/>
          </w:tcPr>
          <w:p>
            <w:pPr>
              <w:widowControl/>
              <w:jc w:val="center"/>
              <w:rPr>
                <w:rFonts w:ascii="仿宋_GB2312" w:eastAsia="仿宋_GB2312"/>
                <w:color w:val="000000"/>
                <w:sz w:val="18"/>
                <w:szCs w:val="18"/>
              </w:rPr>
            </w:pPr>
          </w:p>
        </w:tc>
        <w:tc>
          <w:tcPr>
            <w:tcW w:w="555" w:type="dxa"/>
            <w:vMerge w:val="continue"/>
            <w:shd w:val="clear" w:color="auto" w:fill="auto"/>
            <w:noWrap/>
            <w:vAlign w:val="center"/>
          </w:tcPr>
          <w:p>
            <w:pPr>
              <w:widowControl/>
              <w:jc w:val="center"/>
              <w:rPr>
                <w:rFonts w:ascii="仿宋_GB2312" w:eastAsia="仿宋_GB2312"/>
                <w:color w:val="000000"/>
                <w:sz w:val="18"/>
                <w:szCs w:val="18"/>
              </w:rPr>
            </w:pPr>
          </w:p>
        </w:tc>
        <w:tc>
          <w:tcPr>
            <w:tcW w:w="690" w:type="dxa"/>
            <w:vMerge w:val="continue"/>
            <w:shd w:val="clear" w:color="auto" w:fill="auto"/>
            <w:noWrap/>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hint="eastAsia" w:ascii="仿宋_GB2312" w:eastAsia="仿宋_GB2312"/>
                <w:color w:val="000000"/>
                <w:sz w:val="18"/>
                <w:szCs w:val="18"/>
                <w:lang w:eastAsia="zh-CN"/>
              </w:rPr>
            </w:pPr>
            <w:r>
              <w:rPr>
                <w:rFonts w:ascii="仿宋_GB2312" w:eastAsia="仿宋_GB2312"/>
                <w:color w:val="000000"/>
                <w:sz w:val="18"/>
                <w:szCs w:val="18"/>
              </w:rPr>
              <w:t>1</w:t>
            </w:r>
            <w:r>
              <w:rPr>
                <w:rFonts w:hint="eastAsia" w:ascii="仿宋_GB2312" w:eastAsia="仿宋_GB2312"/>
                <w:color w:val="000000"/>
                <w:sz w:val="18"/>
                <w:szCs w:val="18"/>
                <w:lang w:val="en-US" w:eastAsia="zh-CN"/>
              </w:rPr>
              <w:t>0</w:t>
            </w:r>
          </w:p>
        </w:tc>
        <w:tc>
          <w:tcPr>
            <w:tcW w:w="735" w:type="dxa"/>
            <w:vMerge w:val="continue"/>
            <w:shd w:val="clear" w:color="auto" w:fill="auto"/>
            <w:noWrap/>
            <w:vAlign w:val="center"/>
          </w:tcPr>
          <w:p>
            <w:pPr>
              <w:widowControl/>
              <w:jc w:val="left"/>
              <w:rPr>
                <w:rFonts w:ascii="仿宋_GB2312" w:eastAsia="仿宋_GB2312"/>
                <w:color w:val="000000"/>
                <w:sz w:val="18"/>
                <w:szCs w:val="18"/>
              </w:rPr>
            </w:pPr>
          </w:p>
        </w:tc>
        <w:tc>
          <w:tcPr>
            <w:tcW w:w="1005" w:type="dxa"/>
            <w:vMerge w:val="continue"/>
            <w:shd w:val="clear" w:color="auto" w:fill="auto"/>
            <w:noWrap/>
            <w:vAlign w:val="center"/>
          </w:tcPr>
          <w:p>
            <w:pPr>
              <w:widowControl/>
              <w:jc w:val="left"/>
              <w:rPr>
                <w:rFonts w:ascii="仿宋_GB2312" w:eastAsia="仿宋_GB2312"/>
                <w:color w:val="000000"/>
                <w:sz w:val="18"/>
                <w:szCs w:val="18"/>
              </w:rPr>
            </w:pP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·实施地点</w:t>
            </w:r>
            <w:r>
              <w:rPr>
                <w:rFonts w:hint="eastAsia" w:ascii="仿宋_GB2312" w:eastAsia="仿宋_GB2312"/>
                <w:color w:val="000000"/>
                <w:sz w:val="18"/>
                <w:szCs w:val="18"/>
              </w:rPr>
              <w:br w:type="textWrapping"/>
            </w:r>
            <w:r>
              <w:rPr>
                <w:rFonts w:hint="eastAsia" w:ascii="仿宋_GB2312" w:eastAsia="仿宋_GB2312"/>
                <w:color w:val="000000"/>
                <w:sz w:val="18"/>
                <w:szCs w:val="18"/>
              </w:rPr>
              <w:t>·建设任务</w:t>
            </w:r>
            <w:r>
              <w:rPr>
                <w:rFonts w:hint="eastAsia" w:ascii="仿宋_GB2312" w:eastAsia="仿宋_GB2312"/>
                <w:color w:val="000000"/>
                <w:sz w:val="18"/>
                <w:szCs w:val="18"/>
              </w:rPr>
              <w:br w:type="textWrapping"/>
            </w:r>
            <w:r>
              <w:rPr>
                <w:rFonts w:hint="eastAsia" w:ascii="仿宋_GB2312" w:eastAsia="仿宋_GB2312"/>
                <w:color w:val="000000"/>
                <w:sz w:val="18"/>
                <w:szCs w:val="18"/>
              </w:rPr>
              <w:t>·补助标准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·资金来源及规模</w:t>
            </w:r>
            <w:r>
              <w:rPr>
                <w:rFonts w:hint="eastAsia" w:ascii="仿宋_GB2312" w:eastAsia="仿宋_GB2312"/>
                <w:color w:val="000000"/>
                <w:sz w:val="18"/>
                <w:szCs w:val="18"/>
              </w:rPr>
              <w:br w:type="textWrapping"/>
            </w:r>
            <w:r>
              <w:rPr>
                <w:rFonts w:hint="eastAsia" w:ascii="仿宋_GB2312" w:eastAsia="仿宋_GB2312"/>
                <w:color w:val="000000"/>
                <w:sz w:val="18"/>
                <w:szCs w:val="18"/>
              </w:rPr>
              <w:t>·实施期限</w:t>
            </w:r>
            <w:r>
              <w:rPr>
                <w:rFonts w:hint="eastAsia" w:ascii="仿宋_GB2312" w:eastAsia="仿宋_GB2312"/>
                <w:color w:val="000000"/>
                <w:sz w:val="18"/>
                <w:szCs w:val="18"/>
              </w:rPr>
              <w:br w:type="textWrapping"/>
            </w:r>
            <w:r>
              <w:rPr>
                <w:rFonts w:hint="eastAsia" w:ascii="仿宋_GB2312" w:eastAsia="仿宋_GB2312"/>
                <w:color w:val="000000"/>
                <w:sz w:val="18"/>
                <w:szCs w:val="18"/>
              </w:rPr>
              <w:t>·实施单位</w:t>
            </w:r>
            <w:r>
              <w:rPr>
                <w:rFonts w:hint="eastAsia" w:ascii="仿宋_GB2312" w:eastAsia="仿宋_GB2312"/>
                <w:color w:val="000000"/>
                <w:sz w:val="18"/>
                <w:szCs w:val="18"/>
              </w:rPr>
              <w:br w:type="textWrapping"/>
            </w:r>
            <w:r>
              <w:rPr>
                <w:rFonts w:hint="eastAsia" w:ascii="仿宋_GB2312" w:eastAsia="仿宋_GB2312"/>
                <w:color w:val="000000"/>
                <w:sz w:val="18"/>
                <w:szCs w:val="18"/>
              </w:rPr>
              <w:t>·责任人</w:t>
            </w:r>
            <w:r>
              <w:rPr>
                <w:rFonts w:hint="eastAsia" w:ascii="仿宋_GB2312" w:eastAsia="仿宋_GB2312"/>
                <w:color w:val="000000"/>
                <w:sz w:val="18"/>
                <w:szCs w:val="18"/>
              </w:rPr>
              <w:br w:type="textWrapping"/>
            </w:r>
            <w:r>
              <w:rPr>
                <w:rFonts w:hint="eastAsia" w:ascii="仿宋_GB2312" w:eastAsia="仿宋_GB2312"/>
                <w:color w:val="000000"/>
                <w:sz w:val="18"/>
                <w:szCs w:val="18"/>
              </w:rPr>
              <w:t>·绩效目标</w:t>
            </w:r>
            <w:r>
              <w:rPr>
                <w:rFonts w:hint="eastAsia" w:ascii="仿宋_GB2312" w:eastAsia="仿宋_GB2312"/>
                <w:color w:val="000000"/>
                <w:sz w:val="18"/>
                <w:szCs w:val="18"/>
              </w:rPr>
              <w:br w:type="textWrapping"/>
            </w:r>
            <w:r>
              <w:rPr>
                <w:rFonts w:hint="eastAsia" w:ascii="仿宋_GB2312" w:eastAsia="仿宋_GB2312"/>
                <w:color w:val="000000"/>
                <w:sz w:val="18"/>
                <w:szCs w:val="18"/>
              </w:rPr>
              <w:t>·带贫减贫机制等</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国家林草局关于加强中央财政衔接推进乡村振兴补助资金使用管理的指导意见财农〔2022〕14号》《国家乡村振兴局关于做好县级巩固拓展脱贫攻坚成果和乡村振兴项目库建设管理的通知 国乡振发〔2021〕3号》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江洪镇人民政府</w:t>
            </w:r>
            <w:r>
              <w:rPr>
                <w:rFonts w:hint="eastAsia" w:ascii="仿宋_GB2312" w:eastAsia="仿宋_GB2312"/>
                <w:color w:val="000000"/>
                <w:sz w:val="18"/>
                <w:szCs w:val="18"/>
              </w:rPr>
              <w:t>、村委会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hint="eastAsia" w:ascii="仿宋_GB2312" w:eastAsia="仿宋_GB2312"/>
                <w:color w:val="000000"/>
                <w:sz w:val="18"/>
                <w:szCs w:val="18"/>
                <w:lang w:eastAsia="zh-CN"/>
              </w:rPr>
            </w:pPr>
            <w:r>
              <w:rPr>
                <w:rFonts w:ascii="仿宋_GB2312" w:eastAsia="仿宋_GB2312"/>
                <w:color w:val="000000"/>
                <w:sz w:val="18"/>
                <w:szCs w:val="18"/>
              </w:rPr>
              <w:t>1</w:t>
            </w:r>
            <w:r>
              <w:rPr>
                <w:rFonts w:hint="eastAsia" w:ascii="仿宋_GB2312" w:eastAsia="仿宋_GB2312"/>
                <w:color w:val="000000"/>
                <w:sz w:val="18"/>
                <w:szCs w:val="18"/>
                <w:lang w:val="en-US" w:eastAsia="zh-CN"/>
              </w:rPr>
              <w:t>1</w:t>
            </w:r>
          </w:p>
        </w:tc>
        <w:tc>
          <w:tcPr>
            <w:tcW w:w="735" w:type="dxa"/>
            <w:vMerge w:val="restart"/>
            <w:shd w:val="clear" w:color="auto" w:fill="auto"/>
            <w:noWrap/>
            <w:vAlign w:val="center"/>
          </w:tcPr>
          <w:p>
            <w:pPr>
              <w:widowControl/>
              <w:jc w:val="center"/>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乡村振兴</w:t>
            </w:r>
          </w:p>
        </w:tc>
        <w:tc>
          <w:tcPr>
            <w:tcW w:w="100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财政巩固拓展脱贫攻坚成果同乡村振兴有效衔接补助扶持资金项目</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·巩固拓展脱贫攻坚成果同乡村振兴有效衔接补助扶持资金项目实施前情况（包括项目名称、资金来源、实施期限、绩效目标、实施单位及责任人、受益对象和带贫减贫机制等）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·巩固拓展脱贫攻坚成果同乡村振兴有效衔接补助扶持资金项目实施后情况（包括资金使用、项目实施结果、检查验收结果、绩效目标实现情况等）</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江洪镇人民政府</w:t>
            </w:r>
            <w:r>
              <w:rPr>
                <w:rFonts w:hint="eastAsia" w:ascii="仿宋_GB2312" w:eastAsia="仿宋_GB2312"/>
                <w:color w:val="000000"/>
                <w:sz w:val="18"/>
                <w:szCs w:val="18"/>
              </w:rPr>
              <w:t>、村委会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ign w:val="center"/>
          </w:tcPr>
          <w:p>
            <w:pPr>
              <w:widowControl/>
              <w:jc w:val="center"/>
              <w:rPr>
                <w:rFonts w:hint="eastAsia" w:ascii="仿宋_GB2312" w:eastAsia="仿宋_GB2312"/>
                <w:color w:val="000000"/>
                <w:sz w:val="18"/>
                <w:szCs w:val="18"/>
                <w:lang w:eastAsia="zh-CN"/>
              </w:rPr>
            </w:pPr>
            <w:r>
              <w:rPr>
                <w:rFonts w:ascii="仿宋_GB2312" w:eastAsia="仿宋_GB2312"/>
                <w:color w:val="000000"/>
                <w:sz w:val="18"/>
                <w:szCs w:val="18"/>
              </w:rPr>
              <w:t>1</w:t>
            </w:r>
            <w:r>
              <w:rPr>
                <w:rFonts w:hint="eastAsia" w:ascii="仿宋_GB2312" w:eastAsia="仿宋_GB2312"/>
                <w:color w:val="000000"/>
                <w:sz w:val="18"/>
                <w:szCs w:val="18"/>
                <w:lang w:val="en-US" w:eastAsia="zh-CN"/>
              </w:rPr>
              <w:t>2</w:t>
            </w:r>
          </w:p>
        </w:tc>
        <w:tc>
          <w:tcPr>
            <w:tcW w:w="735" w:type="dxa"/>
            <w:vMerge w:val="continue"/>
            <w:shd w:val="clear" w:color="auto" w:fill="auto"/>
            <w:noWrap/>
            <w:vAlign w:val="center"/>
          </w:tcPr>
          <w:p>
            <w:pPr>
              <w:widowControl/>
              <w:jc w:val="center"/>
              <w:rPr>
                <w:rFonts w:ascii="仿宋_GB2312" w:eastAsia="仿宋_GB2312"/>
                <w:color w:val="000000"/>
                <w:sz w:val="18"/>
                <w:szCs w:val="18"/>
              </w:rPr>
            </w:pPr>
          </w:p>
        </w:tc>
        <w:tc>
          <w:tcPr>
            <w:tcW w:w="10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66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85"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20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《财政部 农业农村部 国家乡村振兴局 国家发展改革委 国家民委 国家林草局关于加强中央财政衔接推进乡村振兴补助资金使用管理的指导意见财农〔2022〕14号》</w:t>
            </w:r>
          </w:p>
        </w:tc>
        <w:tc>
          <w:tcPr>
            <w:tcW w:w="171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48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lang w:eastAsia="zh-CN"/>
              </w:rPr>
              <w:t>江洪镇人民政府</w:t>
            </w:r>
            <w:r>
              <w:rPr>
                <w:rFonts w:hint="eastAsia" w:ascii="仿宋_GB2312" w:eastAsia="仿宋_GB2312"/>
                <w:color w:val="000000"/>
                <w:sz w:val="18"/>
                <w:szCs w:val="18"/>
              </w:rPr>
              <w:t>、村委会</w:t>
            </w:r>
          </w:p>
        </w:tc>
        <w:tc>
          <w:tcPr>
            <w:tcW w:w="1800" w:type="dxa"/>
            <w:shd w:val="clear" w:color="auto" w:fill="auto"/>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0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5"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25"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50" w:type="dxa"/>
            <w:shd w:val="clear" w:color="auto" w:fill="auto"/>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5" w:type="dxa"/>
            <w:shd w:val="clear" w:color="auto" w:fill="auto"/>
            <w:noWrap/>
            <w:vAlign w:val="center"/>
          </w:tcPr>
          <w:p>
            <w:pPr>
              <w:widowControl/>
              <w:jc w:val="center"/>
              <w:rPr>
                <w:rFonts w:ascii="仿宋_GB2312" w:eastAsia="仿宋_GB2312"/>
                <w:color w:val="000000"/>
                <w:sz w:val="18"/>
                <w:szCs w:val="18"/>
              </w:rPr>
            </w:pPr>
          </w:p>
        </w:tc>
        <w:tc>
          <w:tcPr>
            <w:tcW w:w="690" w:type="dxa"/>
            <w:shd w:val="clear" w:color="auto" w:fill="auto"/>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pStyle w:val="2"/>
        <w:jc w:val="both"/>
        <w:rPr>
          <w:rFonts w:hint="eastAsia" w:ascii="方正小标宋_GBK" w:hAnsi="方正小标宋_GBK" w:eastAsia="方正小标宋_GBK"/>
          <w:b w:val="0"/>
          <w:bCs w:val="0"/>
          <w:sz w:val="30"/>
        </w:rPr>
      </w:pPr>
      <w:bookmarkStart w:id="7" w:name="_Toc13363"/>
      <w:bookmarkStart w:id="8" w:name="_Toc24724710"/>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（五）公共法律服务领域基层政务公开标准目录</w:t>
      </w:r>
      <w:bookmarkEnd w:id="7"/>
      <w:bookmarkEnd w:id="8"/>
    </w:p>
    <w:tbl>
      <w:tblPr>
        <w:tblStyle w:val="10"/>
        <w:tblW w:w="16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10"/>
        <w:gridCol w:w="850"/>
        <w:gridCol w:w="851"/>
        <w:gridCol w:w="1910"/>
        <w:gridCol w:w="2551"/>
        <w:gridCol w:w="1218"/>
        <w:gridCol w:w="1134"/>
        <w:gridCol w:w="2127"/>
        <w:gridCol w:w="850"/>
        <w:gridCol w:w="851"/>
        <w:gridCol w:w="567"/>
        <w:gridCol w:w="708"/>
        <w:gridCol w:w="567"/>
        <w:gridCol w:w="74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51" w:hRule="atLeast"/>
          <w:jc w:val="center"/>
        </w:trPr>
        <w:tc>
          <w:tcPr>
            <w:tcW w:w="663" w:type="dxa"/>
            <w:vMerge w:val="restart"/>
            <w:vAlign w:val="center"/>
          </w:tcPr>
          <w:p>
            <w:pPr>
              <w:widowControl/>
              <w:jc w:val="center"/>
              <w:rPr>
                <w:rFonts w:ascii="Times New Roman" w:hAnsi="Times New Roman" w:eastAsia="宋体"/>
                <w:kern w:val="0"/>
                <w:sz w:val="22"/>
              </w:rPr>
            </w:pPr>
            <w:r>
              <w:rPr>
                <w:rFonts w:ascii="黑体" w:hAnsi="宋体" w:eastAsia="黑体" w:cs="宋体"/>
                <w:kern w:val="0"/>
                <w:sz w:val="22"/>
              </w:rPr>
              <w:t>序号</w:t>
            </w:r>
          </w:p>
        </w:tc>
        <w:tc>
          <w:tcPr>
            <w:tcW w:w="710" w:type="dxa"/>
            <w:vMerge w:val="restart"/>
            <w:vAlign w:val="center"/>
          </w:tcPr>
          <w:p>
            <w:pPr>
              <w:widowControl/>
              <w:ind w:firstLine="1295" w:firstLineChars="589"/>
              <w:jc w:val="center"/>
              <w:rPr>
                <w:rFonts w:ascii="黑体" w:hAnsi="宋体" w:eastAsia="黑体" w:cs="宋体"/>
                <w:kern w:val="0"/>
                <w:sz w:val="22"/>
              </w:rPr>
            </w:pPr>
            <w:r>
              <w:rPr>
                <w:rFonts w:hint="eastAsia" w:ascii="黑体" w:hAnsi="宋体" w:eastAsia="黑体" w:cs="宋体"/>
                <w:kern w:val="0"/>
                <w:sz w:val="22"/>
              </w:rPr>
              <w:t>对相应领域</w:t>
            </w:r>
          </w:p>
        </w:tc>
        <w:tc>
          <w:tcPr>
            <w:tcW w:w="170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9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5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2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13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212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31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663" w:type="dxa"/>
            <w:vMerge w:val="continue"/>
            <w:vAlign w:val="center"/>
          </w:tcPr>
          <w:p>
            <w:pPr>
              <w:widowControl/>
              <w:jc w:val="left"/>
              <w:rPr>
                <w:rFonts w:ascii="Times New Roman" w:hAnsi="Times New Roman" w:eastAsia="宋体"/>
                <w:kern w:val="0"/>
                <w:sz w:val="22"/>
              </w:rPr>
            </w:pPr>
          </w:p>
        </w:tc>
        <w:tc>
          <w:tcPr>
            <w:tcW w:w="710" w:type="dxa"/>
            <w:vMerge w:val="continue"/>
          </w:tcPr>
          <w:p>
            <w:pPr>
              <w:widowControl/>
              <w:ind w:firstLine="1295" w:firstLineChars="589"/>
              <w:jc w:val="center"/>
              <w:rPr>
                <w:rFonts w:ascii="黑体" w:hAnsi="宋体" w:eastAsia="黑体" w:cs="宋体"/>
                <w:kern w:val="0"/>
                <w:sz w:val="22"/>
              </w:rPr>
            </w:pPr>
          </w:p>
        </w:tc>
        <w:tc>
          <w:tcPr>
            <w:tcW w:w="85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910" w:type="dxa"/>
            <w:vMerge w:val="continue"/>
            <w:vAlign w:val="center"/>
          </w:tcPr>
          <w:p>
            <w:pPr>
              <w:widowControl/>
              <w:jc w:val="left"/>
              <w:rPr>
                <w:rFonts w:ascii="黑体" w:hAnsi="宋体" w:eastAsia="黑体" w:cs="宋体"/>
                <w:kern w:val="0"/>
                <w:sz w:val="22"/>
              </w:rPr>
            </w:pPr>
          </w:p>
        </w:tc>
        <w:tc>
          <w:tcPr>
            <w:tcW w:w="2551" w:type="dxa"/>
            <w:vMerge w:val="continue"/>
            <w:vAlign w:val="center"/>
          </w:tcPr>
          <w:p>
            <w:pPr>
              <w:widowControl/>
              <w:jc w:val="left"/>
              <w:rPr>
                <w:rFonts w:ascii="黑体" w:hAnsi="宋体" w:eastAsia="黑体" w:cs="宋体"/>
                <w:kern w:val="0"/>
                <w:sz w:val="22"/>
              </w:rPr>
            </w:pPr>
          </w:p>
        </w:tc>
        <w:tc>
          <w:tcPr>
            <w:tcW w:w="1218" w:type="dxa"/>
            <w:vMerge w:val="continue"/>
            <w:vAlign w:val="center"/>
          </w:tcPr>
          <w:p>
            <w:pPr>
              <w:widowControl/>
              <w:jc w:val="left"/>
              <w:rPr>
                <w:rFonts w:ascii="黑体" w:hAnsi="宋体" w:eastAsia="黑体" w:cs="宋体"/>
                <w:kern w:val="0"/>
                <w:sz w:val="22"/>
              </w:rPr>
            </w:pPr>
          </w:p>
        </w:tc>
        <w:tc>
          <w:tcPr>
            <w:tcW w:w="1134" w:type="dxa"/>
            <w:vMerge w:val="continue"/>
            <w:vAlign w:val="center"/>
          </w:tcPr>
          <w:p>
            <w:pPr>
              <w:widowControl/>
              <w:jc w:val="left"/>
              <w:rPr>
                <w:rFonts w:ascii="黑体" w:hAnsi="宋体" w:eastAsia="黑体" w:cs="宋体"/>
                <w:kern w:val="0"/>
                <w:sz w:val="22"/>
              </w:rPr>
            </w:pPr>
          </w:p>
        </w:tc>
        <w:tc>
          <w:tcPr>
            <w:tcW w:w="2127" w:type="dxa"/>
            <w:vMerge w:val="continue"/>
            <w:vAlign w:val="center"/>
          </w:tcPr>
          <w:p>
            <w:pPr>
              <w:widowControl/>
              <w:jc w:val="left"/>
              <w:rPr>
                <w:rFonts w:ascii="黑体" w:hAnsi="宋体" w:eastAsia="黑体" w:cs="宋体"/>
                <w:kern w:val="0"/>
                <w:sz w:val="22"/>
              </w:rPr>
            </w:pPr>
          </w:p>
        </w:tc>
        <w:tc>
          <w:tcPr>
            <w:tcW w:w="85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57"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6"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710" w:type="dxa"/>
            <w:vMerge w:val="restart"/>
          </w:tcPr>
          <w:p>
            <w:pPr>
              <w:widowControl/>
              <w:ind w:firstLine="1060" w:firstLineChars="589"/>
              <w:jc w:val="center"/>
              <w:textAlignment w:val="cente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sz w:val="18"/>
                <w:szCs w:val="18"/>
              </w:rPr>
              <w:t>公共法律服务</w:t>
            </w:r>
          </w:p>
          <w:p>
            <w:pPr>
              <w:rPr>
                <w:rFonts w:ascii="仿宋_GB2312" w:hAnsi="宋体" w:eastAsia="仿宋_GB2312"/>
                <w:sz w:val="18"/>
                <w:szCs w:val="18"/>
              </w:rPr>
            </w:pPr>
          </w:p>
          <w:p>
            <w:pPr>
              <w:rPr>
                <w:rFonts w:ascii="仿宋_GB2312" w:hAnsi="宋体" w:eastAsia="仿宋_GB2312"/>
                <w:sz w:val="18"/>
                <w:szCs w:val="18"/>
              </w:rPr>
            </w:pPr>
          </w:p>
        </w:tc>
        <w:tc>
          <w:tcPr>
            <w:tcW w:w="85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法治宣传教育</w:t>
            </w: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法律知识普及服务</w:t>
            </w:r>
          </w:p>
        </w:tc>
        <w:tc>
          <w:tcPr>
            <w:tcW w:w="191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法律法规资讯；普法动态资讯</w:t>
            </w:r>
          </w:p>
        </w:tc>
        <w:tc>
          <w:tcPr>
            <w:tcW w:w="2551"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《中共中央、国务院转发&lt;中央宣传部、司法部关于在公民中开展法治宣传教育的第七个五年规划（2016－2020年）&gt;》、</w:t>
            </w:r>
          </w:p>
          <w:p>
            <w:pPr>
              <w:widowControl/>
              <w:textAlignment w:val="center"/>
              <w:rPr>
                <w:rFonts w:ascii="仿宋_GB2312" w:hAnsi="宋体" w:eastAsia="仿宋_GB2312"/>
                <w:sz w:val="18"/>
                <w:szCs w:val="18"/>
              </w:rPr>
            </w:pPr>
            <w:r>
              <w:rPr>
                <w:rFonts w:hint="eastAsia" w:ascii="仿宋_GB2312" w:hAnsi="宋体" w:eastAsia="仿宋_GB2312"/>
                <w:sz w:val="18"/>
                <w:szCs w:val="18"/>
              </w:rPr>
              <w:t>广东省“七五”普法规划</w:t>
            </w:r>
          </w:p>
        </w:tc>
        <w:tc>
          <w:tcPr>
            <w:tcW w:w="1218"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综合治理办公室</w:t>
            </w:r>
          </w:p>
        </w:tc>
        <w:tc>
          <w:tcPr>
            <w:tcW w:w="2127" w:type="dxa"/>
            <w:vMerge w:val="restart"/>
            <w:vAlign w:val="center"/>
          </w:tcPr>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■政府网站</w:t>
            </w:r>
          </w:p>
          <w:p>
            <w:pPr>
              <w:rPr>
                <w:rFonts w:ascii="仿宋_GB2312" w:hAnsi="宋体" w:eastAsia="仿宋_GB2312"/>
                <w:sz w:val="18"/>
                <w:szCs w:val="18"/>
              </w:rPr>
            </w:pPr>
          </w:p>
        </w:tc>
        <w:tc>
          <w:tcPr>
            <w:tcW w:w="850"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710" w:type="dxa"/>
            <w:vMerge w:val="continue"/>
          </w:tcPr>
          <w:p>
            <w:pPr>
              <w:rPr>
                <w:rFonts w:ascii="仿宋_GB2312" w:hAnsi="宋体" w:eastAsia="仿宋_GB2312"/>
                <w:sz w:val="18"/>
                <w:szCs w:val="18"/>
              </w:rPr>
            </w:pPr>
          </w:p>
        </w:tc>
        <w:tc>
          <w:tcPr>
            <w:tcW w:w="850" w:type="dxa"/>
            <w:vMerge w:val="continue"/>
            <w:vAlign w:val="center"/>
          </w:tcPr>
          <w:p>
            <w:pPr>
              <w:jc w:val="center"/>
              <w:rPr>
                <w:rFonts w:ascii="仿宋_GB2312" w:hAnsi="宋体" w:eastAsia="仿宋_GB2312"/>
                <w:sz w:val="18"/>
                <w:szCs w:val="18"/>
              </w:rPr>
            </w:pP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推广法治文化服务</w:t>
            </w:r>
          </w:p>
        </w:tc>
        <w:tc>
          <w:tcPr>
            <w:tcW w:w="191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辖区内法治文化阵地信息；法治文化作品、产品</w:t>
            </w:r>
          </w:p>
        </w:tc>
        <w:tc>
          <w:tcPr>
            <w:tcW w:w="2551" w:type="dxa"/>
            <w:vMerge w:val="continue"/>
            <w:vAlign w:val="center"/>
          </w:tcPr>
          <w:p>
            <w:pPr>
              <w:rPr>
                <w:rFonts w:ascii="仿宋_GB2312" w:hAnsi="宋体" w:eastAsia="仿宋_GB2312"/>
                <w:sz w:val="18"/>
                <w:szCs w:val="18"/>
              </w:rPr>
            </w:pPr>
          </w:p>
        </w:tc>
        <w:tc>
          <w:tcPr>
            <w:tcW w:w="1218" w:type="dxa"/>
            <w:vMerge w:val="continue"/>
            <w:vAlign w:val="center"/>
          </w:tcPr>
          <w:p>
            <w:pPr>
              <w:rPr>
                <w:rFonts w:ascii="仿宋_GB2312" w:hAnsi="宋体" w:eastAsia="仿宋_GB2312"/>
                <w:sz w:val="18"/>
                <w:szCs w:val="18"/>
              </w:rPr>
            </w:pP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综合治理办公室</w:t>
            </w:r>
          </w:p>
        </w:tc>
        <w:tc>
          <w:tcPr>
            <w:tcW w:w="2127" w:type="dxa"/>
            <w:vMerge w:val="continue"/>
            <w:vAlign w:val="center"/>
          </w:tcPr>
          <w:p>
            <w:pPr>
              <w:widowControl/>
              <w:jc w:val="left"/>
              <w:textAlignment w:val="cente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8" w:hRule="atLeast"/>
          <w:jc w:val="center"/>
        </w:trPr>
        <w:tc>
          <w:tcPr>
            <w:tcW w:w="663"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710" w:type="dxa"/>
            <w:vMerge w:val="continue"/>
          </w:tcPr>
          <w:p>
            <w:pP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法律咨询服务</w:t>
            </w:r>
          </w:p>
        </w:tc>
        <w:tc>
          <w:tcPr>
            <w:tcW w:w="851"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法律法规咨询服务</w:t>
            </w:r>
          </w:p>
        </w:tc>
        <w:tc>
          <w:tcPr>
            <w:tcW w:w="1910" w:type="dxa"/>
            <w:vAlign w:val="center"/>
          </w:tcPr>
          <w:p>
            <w:pPr>
              <w:tabs>
                <w:tab w:val="center" w:pos="4153"/>
                <w:tab w:val="right" w:pos="8306"/>
              </w:tabs>
              <w:snapToGrid w:val="0"/>
              <w:spacing w:line="360" w:lineRule="auto"/>
              <w:rPr>
                <w:rFonts w:ascii="仿宋_GB2312" w:hAnsi="宋体" w:eastAsia="仿宋_GB2312"/>
                <w:sz w:val="18"/>
                <w:szCs w:val="18"/>
              </w:rPr>
            </w:pPr>
            <w:r>
              <w:rPr>
                <w:rFonts w:hint="eastAsia" w:ascii="仿宋_GB2312" w:hAnsi="宋体" w:eastAsia="仿宋_GB2312"/>
                <w:sz w:val="18"/>
                <w:szCs w:val="18"/>
              </w:rPr>
              <w:t>公共法律服务实体平台、热线平台、网络平台咨询服务</w:t>
            </w:r>
          </w:p>
        </w:tc>
        <w:tc>
          <w:tcPr>
            <w:tcW w:w="2551"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1218" w:type="dxa"/>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1134"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综合治理办公室</w:t>
            </w:r>
          </w:p>
        </w:tc>
        <w:tc>
          <w:tcPr>
            <w:tcW w:w="2127"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p>
            <w:pPr>
              <w:widowControl/>
              <w:jc w:val="left"/>
              <w:textAlignment w:val="center"/>
              <w:rPr>
                <w:rFonts w:ascii="仿宋_GB2312" w:hAnsi="宋体" w:eastAsia="仿宋_GB2312"/>
                <w:sz w:val="18"/>
                <w:szCs w:val="18"/>
              </w:rPr>
            </w:pPr>
          </w:p>
        </w:tc>
        <w:tc>
          <w:tcPr>
            <w:tcW w:w="850"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9" w:name="_Toc3876"/>
      <w:r>
        <w:rPr>
          <w:rFonts w:hint="eastAsia" w:ascii="方正小标宋_GBK" w:hAnsi="方正小标宋_GBK" w:eastAsia="方正小标宋_GBK"/>
          <w:b w:val="0"/>
          <w:bCs w:val="0"/>
          <w:sz w:val="30"/>
        </w:rPr>
        <w:t>（六）公共文化服务领域基层政务公开标准目录</w:t>
      </w:r>
      <w:bookmarkEnd w:id="9"/>
    </w:p>
    <w:tbl>
      <w:tblPr>
        <w:tblStyle w:val="10"/>
        <w:tblW w:w="16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4"/>
        <w:gridCol w:w="851"/>
        <w:gridCol w:w="1285"/>
        <w:gridCol w:w="1417"/>
        <w:gridCol w:w="3686"/>
        <w:gridCol w:w="992"/>
        <w:gridCol w:w="992"/>
        <w:gridCol w:w="1985"/>
        <w:gridCol w:w="567"/>
        <w:gridCol w:w="709"/>
        <w:gridCol w:w="567"/>
        <w:gridCol w:w="708"/>
        <w:gridCol w:w="567"/>
        <w:gridCol w:w="74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Height w:val="751" w:hRule="atLeast"/>
          <w:jc w:val="center"/>
        </w:trPr>
        <w:tc>
          <w:tcPr>
            <w:tcW w:w="426" w:type="dxa"/>
            <w:vMerge w:val="restart"/>
            <w:vAlign w:val="center"/>
          </w:tcPr>
          <w:p>
            <w:pPr>
              <w:widowControl/>
              <w:jc w:val="center"/>
              <w:rPr>
                <w:rFonts w:ascii="Times New Roman" w:hAnsi="Times New Roman" w:eastAsia="宋体"/>
                <w:kern w:val="0"/>
                <w:sz w:val="22"/>
              </w:rPr>
            </w:pPr>
            <w:r>
              <w:rPr>
                <w:rFonts w:ascii="黑体" w:hAnsi="宋体" w:eastAsia="黑体" w:cs="宋体"/>
                <w:kern w:val="0"/>
                <w:sz w:val="22"/>
              </w:rPr>
              <w:t>序号</w:t>
            </w:r>
          </w:p>
        </w:tc>
        <w:tc>
          <w:tcPr>
            <w:tcW w:w="664" w:type="dxa"/>
            <w:vMerge w:val="restart"/>
            <w:vAlign w:val="center"/>
          </w:tcPr>
          <w:p>
            <w:pPr>
              <w:widowControl/>
              <w:ind w:firstLine="1295" w:firstLineChars="589"/>
              <w:jc w:val="center"/>
              <w:rPr>
                <w:rFonts w:ascii="黑体" w:hAnsi="宋体" w:eastAsia="黑体" w:cs="宋体"/>
                <w:kern w:val="0"/>
                <w:sz w:val="22"/>
              </w:rPr>
            </w:pPr>
            <w:r>
              <w:rPr>
                <w:rFonts w:hint="eastAsia" w:ascii="黑体" w:hAnsi="宋体" w:eastAsia="黑体" w:cs="宋体"/>
                <w:kern w:val="0"/>
                <w:sz w:val="22"/>
              </w:rPr>
              <w:t>对相应领域</w:t>
            </w:r>
          </w:p>
        </w:tc>
        <w:tc>
          <w:tcPr>
            <w:tcW w:w="213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41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36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98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31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26" w:type="dxa"/>
            <w:vMerge w:val="continue"/>
            <w:vAlign w:val="center"/>
          </w:tcPr>
          <w:p>
            <w:pPr>
              <w:widowControl/>
              <w:jc w:val="left"/>
              <w:rPr>
                <w:rFonts w:ascii="Times New Roman" w:hAnsi="Times New Roman" w:eastAsia="宋体"/>
                <w:kern w:val="0"/>
                <w:sz w:val="22"/>
              </w:rPr>
            </w:pPr>
          </w:p>
        </w:tc>
        <w:tc>
          <w:tcPr>
            <w:tcW w:w="664" w:type="dxa"/>
            <w:vMerge w:val="continue"/>
          </w:tcPr>
          <w:p>
            <w:pPr>
              <w:widowControl/>
              <w:ind w:firstLine="1295" w:firstLineChars="589"/>
              <w:jc w:val="center"/>
              <w:rPr>
                <w:rFonts w:ascii="黑体" w:hAnsi="宋体" w:eastAsia="黑体" w:cs="宋体"/>
                <w:kern w:val="0"/>
                <w:sz w:val="22"/>
              </w:rPr>
            </w:pPr>
          </w:p>
        </w:tc>
        <w:tc>
          <w:tcPr>
            <w:tcW w:w="8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285"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417" w:type="dxa"/>
            <w:vMerge w:val="continue"/>
            <w:vAlign w:val="center"/>
          </w:tcPr>
          <w:p>
            <w:pPr>
              <w:widowControl/>
              <w:jc w:val="left"/>
              <w:rPr>
                <w:rFonts w:ascii="黑体" w:hAnsi="宋体" w:eastAsia="黑体" w:cs="宋体"/>
                <w:kern w:val="0"/>
                <w:sz w:val="22"/>
              </w:rPr>
            </w:pPr>
          </w:p>
        </w:tc>
        <w:tc>
          <w:tcPr>
            <w:tcW w:w="3686"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992" w:type="dxa"/>
            <w:vMerge w:val="continue"/>
            <w:vAlign w:val="center"/>
          </w:tcPr>
          <w:p>
            <w:pPr>
              <w:widowControl/>
              <w:jc w:val="left"/>
              <w:rPr>
                <w:rFonts w:ascii="黑体" w:hAnsi="宋体" w:eastAsia="黑体" w:cs="宋体"/>
                <w:kern w:val="0"/>
                <w:sz w:val="22"/>
              </w:rPr>
            </w:pPr>
          </w:p>
        </w:tc>
        <w:tc>
          <w:tcPr>
            <w:tcW w:w="1985"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57"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镇</w:t>
            </w:r>
          </w:p>
          <w:p>
            <w:pPr>
              <w:widowControl/>
              <w:jc w:val="center"/>
              <w:rPr>
                <w:rFonts w:ascii="黑体" w:hAnsi="宋体" w:eastAsia="黑体" w:cs="宋体"/>
                <w:kern w:val="0"/>
                <w:sz w:val="22"/>
              </w:rPr>
            </w:pPr>
            <w:r>
              <w:rPr>
                <w:rFonts w:hint="eastAsia" w:ascii="黑体" w:hAnsi="宋体" w:eastAsia="黑体" w:cs="宋体"/>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1</w:t>
            </w:r>
          </w:p>
        </w:tc>
        <w:tc>
          <w:tcPr>
            <w:tcW w:w="664" w:type="dxa"/>
            <w:vMerge w:val="restart"/>
          </w:tcPr>
          <w:p>
            <w:pPr>
              <w:widowControl/>
              <w:ind w:firstLine="1060" w:firstLineChars="589"/>
              <w:jc w:val="center"/>
              <w:textAlignment w:val="cente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公共文化服务</w:t>
            </w:r>
          </w:p>
          <w:p>
            <w:pPr>
              <w:ind w:firstLine="1060" w:firstLineChars="589"/>
              <w:jc w:val="center"/>
              <w:rPr>
                <w:rFonts w:ascii="仿宋_GB2312" w:hAnsi="宋体" w:eastAsia="仿宋_GB2312"/>
                <w:sz w:val="18"/>
                <w:szCs w:val="18"/>
              </w:rPr>
            </w:pPr>
            <w:r>
              <w:rPr>
                <w:rFonts w:ascii="仿宋_GB2312" w:hAnsi="Times New Roman" w:eastAsia="仿宋_GB2312"/>
                <w:sz w:val="18"/>
                <w:szCs w:val="18"/>
              </w:rPr>
              <w:t>6</w:t>
            </w:r>
          </w:p>
        </w:tc>
        <w:tc>
          <w:tcPr>
            <w:tcW w:w="85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公共文化</w:t>
            </w: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公共文化机构免费开放信息</w:t>
            </w:r>
          </w:p>
        </w:tc>
        <w:tc>
          <w:tcPr>
            <w:tcW w:w="1417" w:type="dxa"/>
            <w:vMerge w:val="restart"/>
            <w:vAlign w:val="center"/>
          </w:tcPr>
          <w:p>
            <w:pPr>
              <w:tabs>
                <w:tab w:val="center" w:pos="4153"/>
                <w:tab w:val="right" w:pos="8306"/>
              </w:tabs>
              <w:snapToGrid w:val="0"/>
              <w:spacing w:line="360" w:lineRule="auto"/>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p>
          <w:p>
            <w:pPr>
              <w:tabs>
                <w:tab w:val="center" w:pos="4153"/>
                <w:tab w:val="right" w:pos="8306"/>
              </w:tabs>
              <w:snapToGrid w:val="0"/>
              <w:spacing w:line="360" w:lineRule="auto"/>
              <w:rPr>
                <w:rFonts w:ascii="仿宋_GB2312" w:hAnsi="宋体" w:eastAsia="仿宋_GB2312"/>
                <w:sz w:val="18"/>
                <w:szCs w:val="18"/>
              </w:rPr>
            </w:pPr>
            <w:r>
              <w:rPr>
                <w:rFonts w:ascii="仿宋_GB2312" w:hAnsi="Times New Roman" w:eastAsia="仿宋_GB2312"/>
                <w:sz w:val="18"/>
                <w:szCs w:val="18"/>
              </w:rPr>
              <w:t>3.</w:t>
            </w:r>
            <w:r>
              <w:rPr>
                <w:rFonts w:hint="eastAsia" w:ascii="仿宋_GB2312" w:hAnsi="Times New Roman" w:eastAsia="仿宋_GB2312"/>
                <w:sz w:val="18"/>
                <w:szCs w:val="18"/>
              </w:rPr>
              <w:t>开放项目</w:t>
            </w:r>
            <w:r>
              <w:rPr>
                <w:rFonts w:hint="eastAsia" w:ascii="仿宋_GB2312" w:hAnsi="Times New Roman" w:eastAsia="仿宋_GB2312"/>
                <w:sz w:val="18"/>
                <w:szCs w:val="18"/>
              </w:rPr>
              <w:br w:type="textWrapping"/>
            </w:r>
            <w:r>
              <w:rPr>
                <w:rFonts w:ascii="仿宋_GB2312" w:hAnsi="Times New Roman" w:eastAsia="仿宋_GB2312"/>
                <w:sz w:val="18"/>
                <w:szCs w:val="18"/>
              </w:rPr>
              <w:t>4</w:t>
            </w:r>
            <w:r>
              <w:rPr>
                <w:rFonts w:hint="eastAsia" w:ascii="仿宋_GB2312" w:hAnsi="Times New Roman" w:eastAsia="仿宋_GB2312"/>
                <w:sz w:val="18"/>
                <w:szCs w:val="18"/>
              </w:rPr>
              <w:t>.机构地址；</w:t>
            </w:r>
            <w:r>
              <w:rPr>
                <w:rFonts w:hint="eastAsia" w:ascii="仿宋_GB2312" w:hAnsi="Times New Roman" w:eastAsia="仿宋_GB2312"/>
                <w:sz w:val="18"/>
                <w:szCs w:val="18"/>
              </w:rPr>
              <w:br w:type="textWrapping"/>
            </w:r>
            <w:r>
              <w:rPr>
                <w:rFonts w:ascii="仿宋_GB2312" w:hAnsi="Times New Roman" w:eastAsia="仿宋_GB2312"/>
                <w:sz w:val="18"/>
                <w:szCs w:val="18"/>
              </w:rPr>
              <w:t>5</w:t>
            </w:r>
            <w:r>
              <w:rPr>
                <w:rFonts w:hint="eastAsia" w:ascii="仿宋_GB2312" w:hAnsi="Times New Roman" w:eastAsia="仿宋_GB2312"/>
                <w:sz w:val="18"/>
                <w:szCs w:val="18"/>
              </w:rPr>
              <w:t>.联系电话；</w:t>
            </w:r>
            <w:r>
              <w:rPr>
                <w:rFonts w:hint="eastAsia" w:ascii="仿宋_GB2312" w:hAnsi="Times New Roman" w:eastAsia="仿宋_GB2312"/>
                <w:sz w:val="18"/>
                <w:szCs w:val="18"/>
              </w:rPr>
              <w:br w:type="textWrapping"/>
            </w:r>
            <w:r>
              <w:rPr>
                <w:rFonts w:ascii="仿宋_GB2312" w:hAnsi="Times New Roman" w:eastAsia="仿宋_GB2312"/>
                <w:sz w:val="18"/>
                <w:szCs w:val="18"/>
              </w:rPr>
              <w:t>6</w:t>
            </w:r>
            <w:r>
              <w:rPr>
                <w:rFonts w:hint="eastAsia" w:ascii="仿宋_GB2312" w:hAnsi="Times New Roman" w:eastAsia="仿宋_GB2312"/>
                <w:sz w:val="18"/>
                <w:szCs w:val="18"/>
              </w:rPr>
              <w:t>.临时停止开放信息</w:t>
            </w:r>
          </w:p>
        </w:tc>
        <w:tc>
          <w:tcPr>
            <w:tcW w:w="3686"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《公共文化服务保障法》、</w:t>
            </w:r>
            <w:r>
              <w:rPr>
                <w:rFonts w:hint="eastAsia" w:ascii="仿宋_GB2312" w:hAnsi="宋体" w:eastAsia="仿宋_GB2312"/>
                <w:color w:val="000000"/>
                <w:sz w:val="18"/>
                <w:szCs w:val="18"/>
              </w:rPr>
              <w:t>《中华人民共和国政府信息公开条例》（中华人民共和国国务院令第711号）</w:t>
            </w:r>
          </w:p>
        </w:tc>
        <w:tc>
          <w:tcPr>
            <w:tcW w:w="992"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信息形成或变更之日起2</w:t>
            </w:r>
            <w:r>
              <w:rPr>
                <w:rFonts w:ascii="仿宋_GB2312" w:hAnsi="宋体" w:eastAsia="仿宋_GB2312"/>
                <w:sz w:val="18"/>
                <w:szCs w:val="18"/>
              </w:rPr>
              <w:t>0</w:t>
            </w:r>
            <w:r>
              <w:rPr>
                <w:rFonts w:hint="eastAsia" w:ascii="仿宋_GB2312" w:hAnsi="宋体" w:eastAsia="仿宋_GB2312"/>
                <w:sz w:val="18"/>
                <w:szCs w:val="18"/>
              </w:rPr>
              <w:t>个工作日内</w:t>
            </w:r>
          </w:p>
        </w:tc>
        <w:tc>
          <w:tcPr>
            <w:tcW w:w="992"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985" w:type="dxa"/>
            <w:vMerge w:val="restart"/>
            <w:vAlign w:val="center"/>
          </w:tcPr>
          <w:p>
            <w:pPr>
              <w:spacing w:line="240" w:lineRule="exact"/>
              <w:rPr>
                <w:rFonts w:ascii="仿宋_GB2312" w:hAnsi="Times New Roman" w:eastAsia="仿宋_GB2312"/>
                <w:color w:val="000000" w:themeColor="text1"/>
                <w:sz w:val="18"/>
                <w:szCs w:val="18"/>
                <w14:textFill>
                  <w14:solidFill>
                    <w14:schemeClr w14:val="tx1"/>
                  </w14:solidFill>
                </w14:textFill>
              </w:rPr>
            </w:pPr>
            <w:r>
              <w:rPr>
                <w:rFonts w:hint="eastAsia" w:ascii="仿宋_GB2312" w:hAnsi="Times New Roman" w:eastAsia="仿宋_GB2312"/>
                <w:color w:val="000000" w:themeColor="text1"/>
                <w:sz w:val="18"/>
                <w:szCs w:val="18"/>
                <w14:textFill>
                  <w14:solidFill>
                    <w14:schemeClr w14:val="tx1"/>
                  </w14:solidFill>
                </w14:textFill>
              </w:rPr>
              <w:t>■政府网站</w:t>
            </w:r>
          </w:p>
          <w:p>
            <w:pPr>
              <w:spacing w:line="240" w:lineRule="exact"/>
              <w:rPr>
                <w:rFonts w:ascii="仿宋_GB2312" w:hAnsi="Times New Roman"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p>
            <w:pPr>
              <w:widowControl/>
              <w:jc w:val="left"/>
              <w:textAlignment w:val="center"/>
              <w:rPr>
                <w:rFonts w:ascii="仿宋_GB2312" w:hAnsi="宋体" w:eastAsia="仿宋_GB2312"/>
                <w:sz w:val="18"/>
                <w:szCs w:val="18"/>
              </w:rPr>
            </w:pPr>
            <w:r>
              <w:rPr>
                <w:rFonts w:hint="eastAsia" w:ascii="仿宋_GB2312" w:hAnsi="Times New Roman" w:eastAsia="仿宋_GB2312"/>
                <w:color w:val="000000" w:themeColor="text1"/>
                <w:sz w:val="18"/>
                <w:szCs w:val="18"/>
                <w14:textFill>
                  <w14:solidFill>
                    <w14:schemeClr w14:val="tx1"/>
                  </w14:solidFill>
                </w14:textFill>
              </w:rPr>
              <w:t>■街道</w:t>
            </w:r>
            <w:r>
              <w:rPr>
                <w:rFonts w:hint="eastAsia" w:ascii="仿宋_GB2312" w:hAnsi="Times New Roman" w:eastAsia="仿宋_GB2312"/>
                <w:color w:val="000000" w:themeColor="text1"/>
                <w:sz w:val="18"/>
                <w:szCs w:val="18"/>
                <w:lang w:eastAsia="zh-CN"/>
                <w14:textFill>
                  <w14:solidFill>
                    <w14:schemeClr w14:val="tx1"/>
                  </w14:solidFill>
                </w14:textFill>
              </w:rPr>
              <w:t>（镇）</w:t>
            </w:r>
            <w:r>
              <w:rPr>
                <w:rFonts w:hint="eastAsia" w:ascii="仿宋_GB2312" w:hAnsi="Times New Roman" w:eastAsia="仿宋_GB2312"/>
                <w:color w:val="000000" w:themeColor="text1"/>
                <w:sz w:val="18"/>
                <w:szCs w:val="18"/>
                <w14:textFill>
                  <w14:solidFill>
                    <w14:schemeClr w14:val="tx1"/>
                  </w14:solidFill>
                </w14:textFill>
              </w:rPr>
              <w:t>文化站/（社区）综合性文化服务中心公示栏</w:t>
            </w: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widowControl/>
              <w:jc w:val="center"/>
              <w:textAlignment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2</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特殊群体公共文化服务信息</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w:t>
            </w:r>
            <w:r>
              <w:rPr>
                <w:rFonts w:hint="eastAsia" w:ascii="仿宋_GB2312" w:hAnsi="宋体" w:eastAsia="仿宋_GB2312"/>
                <w:color w:val="000000"/>
                <w:sz w:val="18"/>
                <w:szCs w:val="18"/>
              </w:rPr>
              <w:t>《中华人民共和国政府信息公开条例》（中华人民共和国国务院令第711号）</w:t>
            </w:r>
          </w:p>
        </w:tc>
        <w:tc>
          <w:tcPr>
            <w:tcW w:w="992" w:type="dxa"/>
            <w:vMerge w:val="continue"/>
            <w:vAlign w:val="center"/>
          </w:tcPr>
          <w:p>
            <w:pPr>
              <w:rPr>
                <w:rFonts w:ascii="仿宋_GB2312" w:hAnsi="宋体" w:eastAsia="仿宋_GB2312"/>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3</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组织开展群众文化活动</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4</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下基层辅导、演出、展览和指导基层群众文化活动</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5</w:t>
            </w:r>
          </w:p>
        </w:tc>
        <w:tc>
          <w:tcPr>
            <w:tcW w:w="664" w:type="dxa"/>
            <w:vMerge w:val="continue"/>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宋体" w:eastAsia="仿宋_GB2312"/>
                <w:sz w:val="18"/>
                <w:szCs w:val="18"/>
              </w:rPr>
            </w:pPr>
            <w:r>
              <w:rPr>
                <w:rFonts w:hint="eastAsia" w:ascii="仿宋_GB2312" w:hAnsi="Times New Roman" w:eastAsia="仿宋_GB2312"/>
                <w:sz w:val="18"/>
                <w:szCs w:val="18"/>
              </w:rPr>
              <w:t>举办各类展览、讲座信息</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Times New Roman" w:eastAsia="仿宋_GB2312"/>
                <w:sz w:val="18"/>
                <w:szCs w:val="18"/>
              </w:rPr>
              <w:t>《文化馆服务标准》</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jc w:val="center"/>
              <w:textAlignment w:val="center"/>
              <w:rPr>
                <w:rFonts w:ascii="仿宋_GB2312" w:hAnsi="宋体" w:eastAsia="仿宋_GB2312"/>
                <w:sz w:val="18"/>
                <w:szCs w:val="18"/>
              </w:rPr>
            </w:pPr>
          </w:p>
        </w:tc>
        <w:tc>
          <w:tcPr>
            <w:tcW w:w="1985" w:type="dxa"/>
            <w:vMerge w:val="continue"/>
            <w:vAlign w:val="center"/>
          </w:tcPr>
          <w:p>
            <w:pPr>
              <w:widowControl/>
              <w:jc w:val="left"/>
              <w:textAlignment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426" w:type="dxa"/>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6</w:t>
            </w:r>
          </w:p>
        </w:tc>
        <w:tc>
          <w:tcPr>
            <w:tcW w:w="664" w:type="dxa"/>
            <w:vMerge w:val="continue"/>
            <w:vAlign w:val="center"/>
          </w:tcPr>
          <w:p>
            <w:pPr>
              <w:ind w:firstLine="1060" w:firstLineChars="589"/>
              <w:jc w:val="center"/>
              <w:rPr>
                <w:rFonts w:ascii="仿宋_GB2312" w:hAnsi="宋体" w:eastAsia="仿宋_GB2312"/>
                <w:sz w:val="18"/>
                <w:szCs w:val="18"/>
              </w:rPr>
            </w:pPr>
          </w:p>
        </w:tc>
        <w:tc>
          <w:tcPr>
            <w:tcW w:w="851" w:type="dxa"/>
            <w:vMerge w:val="continue"/>
            <w:vAlign w:val="center"/>
          </w:tcPr>
          <w:p>
            <w:pPr>
              <w:jc w:val="center"/>
              <w:rPr>
                <w:rFonts w:ascii="仿宋_GB2312" w:hAnsi="宋体" w:eastAsia="仿宋_GB2312"/>
                <w:sz w:val="18"/>
                <w:szCs w:val="18"/>
              </w:rPr>
            </w:pPr>
          </w:p>
        </w:tc>
        <w:tc>
          <w:tcPr>
            <w:tcW w:w="1285" w:type="dxa"/>
            <w:vAlign w:val="center"/>
          </w:tcPr>
          <w:p>
            <w:pPr>
              <w:widowControl/>
              <w:textAlignment w:val="center"/>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417" w:type="dxa"/>
            <w:vMerge w:val="continue"/>
            <w:vAlign w:val="center"/>
          </w:tcPr>
          <w:p>
            <w:pPr>
              <w:tabs>
                <w:tab w:val="center" w:pos="4153"/>
                <w:tab w:val="right" w:pos="8306"/>
              </w:tabs>
              <w:snapToGrid w:val="0"/>
              <w:spacing w:line="360" w:lineRule="auto"/>
              <w:rPr>
                <w:rFonts w:ascii="仿宋_GB2312" w:hAnsi="宋体" w:eastAsia="仿宋_GB2312"/>
                <w:sz w:val="18"/>
                <w:szCs w:val="18"/>
              </w:rPr>
            </w:pPr>
          </w:p>
        </w:tc>
        <w:tc>
          <w:tcPr>
            <w:tcW w:w="3686" w:type="dxa"/>
            <w:vAlign w:val="center"/>
          </w:tcPr>
          <w:p>
            <w:pPr>
              <w:spacing w:line="240" w:lineRule="exact"/>
              <w:rPr>
                <w:rFonts w:ascii="仿宋_GB2312" w:hAnsi="Times New Roman"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p>
        </w:tc>
        <w:tc>
          <w:tcPr>
            <w:tcW w:w="992" w:type="dxa"/>
            <w:vMerge w:val="continue"/>
            <w:vAlign w:val="center"/>
          </w:tcPr>
          <w:p>
            <w:pPr>
              <w:rPr>
                <w:rFonts w:ascii="仿宋_GB2312" w:hAnsi="宋体" w:eastAsia="仿宋_GB2312"/>
                <w:color w:val="000000"/>
                <w:sz w:val="18"/>
                <w:szCs w:val="18"/>
              </w:rPr>
            </w:pPr>
          </w:p>
        </w:tc>
        <w:tc>
          <w:tcPr>
            <w:tcW w:w="992" w:type="dxa"/>
            <w:vMerge w:val="continue"/>
            <w:vAlign w:val="center"/>
          </w:tcPr>
          <w:p>
            <w:pPr>
              <w:widowControl/>
              <w:jc w:val="center"/>
              <w:textAlignment w:val="center"/>
              <w:rPr>
                <w:rFonts w:ascii="仿宋_GB2312" w:hAnsi="宋体" w:eastAsia="仿宋_GB2312"/>
                <w:sz w:val="18"/>
                <w:szCs w:val="18"/>
              </w:rPr>
            </w:pPr>
          </w:p>
        </w:tc>
        <w:tc>
          <w:tcPr>
            <w:tcW w:w="1985" w:type="dxa"/>
            <w:vMerge w:val="continue"/>
            <w:vAlign w:val="center"/>
          </w:tcPr>
          <w:p>
            <w:pPr>
              <w:spacing w:line="240" w:lineRule="exact"/>
              <w:rPr>
                <w:rFonts w:ascii="仿宋_GB2312" w:hAnsi="Times New Roman"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Times New Roman" w:eastAsia="仿宋_GB2312"/>
                <w:sz w:val="18"/>
                <w:szCs w:val="18"/>
              </w:rPr>
              <w:t>√</w:t>
            </w:r>
          </w:p>
        </w:tc>
        <w:tc>
          <w:tcPr>
            <w:tcW w:w="709"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Times New Roman"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757" w:type="dxa"/>
            <w:gridSpan w:val="2"/>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Pr>
        <w:pStyle w:val="2"/>
        <w:jc w:val="center"/>
        <w:rPr>
          <w:rFonts w:ascii="方正小标宋_GBK" w:eastAsia="方正小标宋_GBK"/>
          <w:b w:val="0"/>
          <w:sz w:val="30"/>
          <w:szCs w:val="30"/>
        </w:rPr>
      </w:pPr>
      <w:bookmarkStart w:id="10" w:name="_Toc14712"/>
      <w:bookmarkStart w:id="11" w:name="_Toc24724713"/>
      <w:r>
        <w:rPr>
          <w:rFonts w:hint="eastAsia" w:ascii="方正小标宋_GBK" w:eastAsia="方正小标宋_GBK"/>
          <w:b w:val="0"/>
          <w:sz w:val="30"/>
          <w:szCs w:val="30"/>
        </w:rPr>
        <w:t>（七）社会保险领域基层政务公开标准目录</w:t>
      </w:r>
      <w:bookmarkEnd w:id="10"/>
      <w:bookmarkEnd w:id="11"/>
    </w:p>
    <w:tbl>
      <w:tblPr>
        <w:tblStyle w:val="10"/>
        <w:tblW w:w="16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709"/>
        <w:gridCol w:w="929"/>
        <w:gridCol w:w="1481"/>
        <w:gridCol w:w="1777"/>
        <w:gridCol w:w="2410"/>
        <w:gridCol w:w="1701"/>
        <w:gridCol w:w="1199"/>
        <w:gridCol w:w="1778"/>
        <w:gridCol w:w="709"/>
        <w:gridCol w:w="567"/>
        <w:gridCol w:w="567"/>
        <w:gridCol w:w="708"/>
        <w:gridCol w:w="567"/>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489" w:type="dxa"/>
            <w:vMerge w:val="restart"/>
            <w:vAlign w:val="center"/>
          </w:tcPr>
          <w:p>
            <w:pPr>
              <w:widowControl/>
              <w:rPr>
                <w:rFonts w:ascii="黑体" w:hAnsi="Times New Roman" w:eastAsia="黑体"/>
                <w:kern w:val="0"/>
                <w:sz w:val="22"/>
              </w:rPr>
            </w:pPr>
            <w:r>
              <w:rPr>
                <w:rFonts w:hint="eastAsia" w:ascii="黑体" w:hAnsi="宋体" w:eastAsia="黑体"/>
                <w:kern w:val="0"/>
                <w:sz w:val="22"/>
              </w:rPr>
              <w:t>序号</w:t>
            </w:r>
          </w:p>
        </w:tc>
        <w:tc>
          <w:tcPr>
            <w:tcW w:w="70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相应领域</w:t>
            </w:r>
          </w:p>
        </w:tc>
        <w:tc>
          <w:tcPr>
            <w:tcW w:w="241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177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41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7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19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77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5"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08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vAlign w:val="center"/>
          </w:tcPr>
          <w:p>
            <w:pPr>
              <w:widowControl/>
              <w:jc w:val="left"/>
              <w:rPr>
                <w:rFonts w:ascii="Times New Roman" w:hAnsi="Times New Roman"/>
                <w:kern w:val="0"/>
                <w:sz w:val="15"/>
                <w:szCs w:val="15"/>
              </w:rPr>
            </w:pPr>
          </w:p>
        </w:tc>
        <w:tc>
          <w:tcPr>
            <w:tcW w:w="709" w:type="dxa"/>
            <w:vMerge w:val="continue"/>
          </w:tcPr>
          <w:p>
            <w:pPr>
              <w:widowControl/>
              <w:jc w:val="center"/>
              <w:rPr>
                <w:rFonts w:ascii="黑体" w:hAnsi="宋体" w:eastAsia="黑体" w:cs="宋体"/>
                <w:kern w:val="0"/>
                <w:sz w:val="22"/>
              </w:rPr>
            </w:pPr>
          </w:p>
        </w:tc>
        <w:tc>
          <w:tcPr>
            <w:tcW w:w="92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148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1777" w:type="dxa"/>
            <w:vMerge w:val="continue"/>
            <w:vAlign w:val="center"/>
          </w:tcPr>
          <w:p>
            <w:pPr>
              <w:widowControl/>
              <w:rPr>
                <w:rFonts w:ascii="黑体" w:hAnsi="宋体" w:eastAsia="黑体" w:cs="宋体"/>
                <w:kern w:val="0"/>
                <w:sz w:val="22"/>
              </w:rPr>
            </w:pPr>
          </w:p>
        </w:tc>
        <w:tc>
          <w:tcPr>
            <w:tcW w:w="2410" w:type="dxa"/>
            <w:vMerge w:val="continue"/>
            <w:vAlign w:val="center"/>
          </w:tcPr>
          <w:p>
            <w:pPr>
              <w:widowControl/>
              <w:jc w:val="left"/>
              <w:rPr>
                <w:rFonts w:ascii="黑体" w:hAnsi="宋体" w:eastAsia="黑体" w:cs="宋体"/>
                <w:kern w:val="0"/>
                <w:sz w:val="22"/>
              </w:rPr>
            </w:pPr>
          </w:p>
        </w:tc>
        <w:tc>
          <w:tcPr>
            <w:tcW w:w="1701" w:type="dxa"/>
            <w:vMerge w:val="continue"/>
            <w:vAlign w:val="center"/>
          </w:tcPr>
          <w:p>
            <w:pPr>
              <w:widowControl/>
              <w:jc w:val="left"/>
              <w:rPr>
                <w:rFonts w:ascii="黑体" w:hAnsi="宋体" w:eastAsia="黑体" w:cs="宋体"/>
                <w:kern w:val="0"/>
                <w:sz w:val="22"/>
              </w:rPr>
            </w:pPr>
          </w:p>
        </w:tc>
        <w:tc>
          <w:tcPr>
            <w:tcW w:w="1199" w:type="dxa"/>
            <w:vMerge w:val="continue"/>
            <w:vAlign w:val="center"/>
          </w:tcPr>
          <w:p>
            <w:pPr>
              <w:widowControl/>
              <w:jc w:val="left"/>
              <w:rPr>
                <w:rFonts w:ascii="黑体" w:hAnsi="宋体" w:eastAsia="黑体" w:cs="宋体"/>
                <w:kern w:val="0"/>
                <w:sz w:val="22"/>
              </w:rPr>
            </w:pPr>
          </w:p>
        </w:tc>
        <w:tc>
          <w:tcPr>
            <w:tcW w:w="1778"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08"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567"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522"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p>
            <w:pPr>
              <w:jc w:val="center"/>
              <w:rPr>
                <w:rFonts w:ascii="仿宋_GB2312" w:hAnsi="宋体" w:eastAsia="仿宋_GB2312"/>
                <w:sz w:val="18"/>
                <w:szCs w:val="18"/>
              </w:rPr>
            </w:pPr>
          </w:p>
        </w:tc>
        <w:tc>
          <w:tcPr>
            <w:tcW w:w="929" w:type="dxa"/>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社会保险登记</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城乡居民养老保险参保登记</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办理材料、办理方式、办理时限、办事时间、办理机构及地点、咨询查询途径、监督投诉渠道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 《社会保险法》、《社会保险费征缴暂行条例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48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2</w:t>
            </w:r>
          </w:p>
        </w:tc>
        <w:tc>
          <w:tcPr>
            <w:tcW w:w="709" w:type="dxa"/>
            <w:vMerge w:val="continue"/>
            <w:vAlign w:val="center"/>
          </w:tcPr>
          <w:p>
            <w:pPr>
              <w:jc w:val="center"/>
              <w:rPr>
                <w:rFonts w:ascii="仿宋_GB2312" w:hAnsi="宋体" w:eastAsia="仿宋_GB2312"/>
                <w:sz w:val="18"/>
                <w:szCs w:val="18"/>
              </w:rPr>
            </w:pPr>
          </w:p>
        </w:tc>
        <w:tc>
          <w:tcPr>
            <w:tcW w:w="92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社会保险个人权益记录查询</w:t>
            </w:r>
          </w:p>
        </w:tc>
        <w:tc>
          <w:tcPr>
            <w:tcW w:w="1777" w:type="dxa"/>
            <w:vMerge w:val="restart"/>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Merge w:val="restart"/>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p>
            <w:pPr>
              <w:rPr>
                <w:rFonts w:ascii="仿宋_GB2312" w:hAnsi="宋体" w:eastAsia="仿宋_GB2312"/>
                <w:sz w:val="18"/>
                <w:szCs w:val="18"/>
              </w:rPr>
            </w:pPr>
          </w:p>
        </w:tc>
        <w:tc>
          <w:tcPr>
            <w:tcW w:w="1701" w:type="dxa"/>
            <w:vMerge w:val="restart"/>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tc>
        <w:tc>
          <w:tcPr>
            <w:tcW w:w="1199" w:type="dxa"/>
            <w:vMerge w:val="restart"/>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78"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Merge w:val="continue"/>
            <w:vAlign w:val="center"/>
          </w:tcPr>
          <w:p>
            <w:pPr>
              <w:jc w:val="center"/>
              <w:rPr>
                <w:rFonts w:ascii="仿宋_GB2312" w:hAnsi="宋体" w:eastAsia="仿宋_GB2312"/>
                <w:sz w:val="18"/>
                <w:szCs w:val="18"/>
              </w:rPr>
            </w:pPr>
          </w:p>
        </w:tc>
        <w:tc>
          <w:tcPr>
            <w:tcW w:w="709" w:type="dxa"/>
            <w:vMerge w:val="continue"/>
            <w:vAlign w:val="center"/>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就业困难人员</w:t>
            </w:r>
          </w:p>
        </w:tc>
        <w:tc>
          <w:tcPr>
            <w:tcW w:w="1777" w:type="dxa"/>
            <w:vMerge w:val="continue"/>
            <w:vAlign w:val="center"/>
          </w:tcPr>
          <w:p>
            <w:pPr>
              <w:jc w:val="left"/>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1778"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3</w:t>
            </w:r>
          </w:p>
        </w:tc>
        <w:tc>
          <w:tcPr>
            <w:tcW w:w="709" w:type="dxa"/>
            <w:vMerge w:val="continue"/>
            <w:vAlign w:val="center"/>
          </w:tcPr>
          <w:p>
            <w:pPr>
              <w:jc w:val="center"/>
              <w:rPr>
                <w:rFonts w:ascii="仿宋_GB2312" w:hAnsi="宋体" w:eastAsia="仿宋_GB2312"/>
                <w:sz w:val="18"/>
                <w:szCs w:val="18"/>
              </w:rPr>
            </w:pPr>
          </w:p>
        </w:tc>
        <w:tc>
          <w:tcPr>
            <w:tcW w:w="929" w:type="dxa"/>
            <w:vAlign w:val="center"/>
          </w:tcPr>
          <w:p>
            <w:pPr>
              <w:jc w:val="center"/>
              <w:rPr>
                <w:rFonts w:ascii="仿宋_GB2312" w:hAnsi="宋体" w:eastAsia="仿宋_GB2312"/>
                <w:sz w:val="18"/>
                <w:szCs w:val="18"/>
              </w:rPr>
            </w:pPr>
            <w:r>
              <w:rPr>
                <w:rFonts w:hint="eastAsia" w:ascii="仿宋_GB2312" w:hAnsi="宋体" w:eastAsia="仿宋_GB2312"/>
                <w:sz w:val="18"/>
                <w:szCs w:val="18"/>
              </w:rPr>
              <w:t>养老保险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居民养老保险待遇领取资格认证</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p>
            <w:pPr>
              <w:jc w:val="left"/>
              <w:rPr>
                <w:rFonts w:ascii="仿宋_GB2312" w:hAnsi="宋体" w:eastAsia="仿宋_GB2312"/>
                <w:sz w:val="18"/>
                <w:szCs w:val="18"/>
              </w:rPr>
            </w:pP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 《社会保险法》、《社会保险费征缴暂行条例》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4</w:t>
            </w:r>
          </w:p>
        </w:tc>
        <w:tc>
          <w:tcPr>
            <w:tcW w:w="709"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rPr>
              <w:t>社会保险</w:t>
            </w:r>
          </w:p>
          <w:p>
            <w:pPr>
              <w:jc w:val="center"/>
              <w:rPr>
                <w:rFonts w:ascii="仿宋_GB2312" w:hAnsi="宋体" w:eastAsia="仿宋_GB2312"/>
                <w:sz w:val="18"/>
                <w:szCs w:val="18"/>
              </w:rPr>
            </w:pPr>
          </w:p>
        </w:tc>
        <w:tc>
          <w:tcPr>
            <w:tcW w:w="929" w:type="dxa"/>
            <w:vAlign w:val="center"/>
          </w:tcPr>
          <w:p>
            <w:pPr>
              <w:rPr>
                <w:rFonts w:ascii="仿宋_GB2312" w:hAnsi="宋体" w:eastAsia="仿宋_GB2312"/>
                <w:sz w:val="18"/>
                <w:szCs w:val="18"/>
              </w:rPr>
            </w:pPr>
            <w:r>
              <w:rPr>
                <w:rFonts w:hint="eastAsia" w:ascii="仿宋_GB2312" w:hAnsi="宋体" w:eastAsia="仿宋_GB2312"/>
                <w:sz w:val="18"/>
                <w:szCs w:val="18"/>
              </w:rPr>
              <w:t>社会保险参保 信息 维护</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个人基本信息变更</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FF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9" w:type="dxa"/>
            <w:vAlign w:val="center"/>
          </w:tcPr>
          <w:p>
            <w:pPr>
              <w:jc w:val="center"/>
              <w:rPr>
                <w:rFonts w:ascii="仿宋_GB2312" w:hAnsi="宋体" w:eastAsia="仿宋_GB2312"/>
                <w:sz w:val="18"/>
                <w:szCs w:val="18"/>
              </w:rPr>
            </w:pPr>
            <w:r>
              <w:rPr>
                <w:rFonts w:hint="eastAsia" w:ascii="仿宋_GB2312" w:hAnsi="宋体" w:eastAsia="仿宋_GB2312"/>
                <w:sz w:val="18"/>
                <w:szCs w:val="18"/>
              </w:rPr>
              <w:t>5</w:t>
            </w:r>
          </w:p>
        </w:tc>
        <w:tc>
          <w:tcPr>
            <w:tcW w:w="709" w:type="dxa"/>
            <w:vMerge w:val="continue"/>
            <w:vAlign w:val="center"/>
          </w:tcPr>
          <w:p>
            <w:pPr>
              <w:jc w:val="center"/>
              <w:rPr>
                <w:rFonts w:ascii="仿宋_GB2312" w:hAnsi="宋体" w:eastAsia="仿宋_GB2312"/>
                <w:sz w:val="18"/>
                <w:szCs w:val="18"/>
              </w:rPr>
            </w:pPr>
          </w:p>
        </w:tc>
        <w:tc>
          <w:tcPr>
            <w:tcW w:w="929" w:type="dxa"/>
            <w:vAlign w:val="center"/>
          </w:tcPr>
          <w:p>
            <w:pPr>
              <w:rPr>
                <w:rFonts w:ascii="仿宋_GB2312" w:hAnsi="宋体" w:eastAsia="仿宋_GB2312"/>
                <w:sz w:val="18"/>
                <w:szCs w:val="18"/>
              </w:rPr>
            </w:pPr>
            <w:r>
              <w:rPr>
                <w:rFonts w:hint="eastAsia" w:ascii="仿宋_GB2312" w:hAnsi="宋体" w:eastAsia="仿宋_GB2312"/>
                <w:sz w:val="18"/>
                <w:szCs w:val="18"/>
              </w:rPr>
              <w:t>医疗保险</w:t>
            </w: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居民基本医疗保险参保登记</w:t>
            </w:r>
          </w:p>
        </w:tc>
        <w:tc>
          <w:tcPr>
            <w:tcW w:w="1777" w:type="dxa"/>
            <w:vAlign w:val="center"/>
          </w:tcPr>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tc>
        <w:tc>
          <w:tcPr>
            <w:tcW w:w="241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、《社会保险法》、《社会保险费征缴暂行条例》</w:t>
            </w:r>
          </w:p>
        </w:tc>
        <w:tc>
          <w:tcPr>
            <w:tcW w:w="1701" w:type="dxa"/>
            <w:vAlign w:val="center"/>
          </w:tcPr>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tc>
        <w:tc>
          <w:tcPr>
            <w:tcW w:w="1199" w:type="dxa"/>
            <w:vAlign w:val="center"/>
          </w:tcPr>
          <w:p>
            <w:pPr>
              <w:rPr>
                <w:rFonts w:ascii="仿宋_GB2312" w:hAnsi="宋体" w:eastAsia="仿宋_GB2312"/>
                <w:color w:val="FF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778"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6</w:t>
            </w:r>
          </w:p>
        </w:tc>
        <w:tc>
          <w:tcPr>
            <w:tcW w:w="709" w:type="dxa"/>
            <w:vMerge w:val="continue"/>
            <w:vAlign w:val="center"/>
          </w:tcPr>
          <w:p>
            <w:pPr>
              <w:jc w:val="center"/>
              <w:rPr>
                <w:rFonts w:ascii="仿宋_GB2312" w:hAnsi="宋体" w:eastAsia="仿宋_GB2312"/>
                <w:sz w:val="18"/>
                <w:szCs w:val="18"/>
              </w:rPr>
            </w:pPr>
          </w:p>
        </w:tc>
        <w:tc>
          <w:tcPr>
            <w:tcW w:w="929" w:type="dxa"/>
            <w:vMerge w:val="restart"/>
            <w:vAlign w:val="center"/>
          </w:tcPr>
          <w:p>
            <w:pP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r>
              <w:rPr>
                <w:rFonts w:hint="eastAsia" w:ascii="仿宋_GB2312" w:hAnsi="宋体" w:eastAsia="仿宋_GB2312"/>
                <w:sz w:val="18"/>
                <w:szCs w:val="18"/>
              </w:rPr>
              <w:t>社会保障卡服务</w:t>
            </w:r>
          </w:p>
          <w:p>
            <w:pPr>
              <w:jc w:val="center"/>
              <w:rPr>
                <w:rFonts w:ascii="仿宋_GB2312" w:hAnsi="宋体" w:eastAsia="仿宋_GB2312"/>
                <w:sz w:val="18"/>
                <w:szCs w:val="18"/>
              </w:rPr>
            </w:pPr>
          </w:p>
          <w:p>
            <w:pPr>
              <w:rPr>
                <w:rFonts w:ascii="仿宋_GB2312" w:hAnsi="宋体" w:eastAsia="仿宋_GB2312"/>
                <w:sz w:val="18"/>
                <w:szCs w:val="18"/>
              </w:rPr>
            </w:pPr>
          </w:p>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社会保障卡申领</w:t>
            </w:r>
          </w:p>
        </w:tc>
        <w:tc>
          <w:tcPr>
            <w:tcW w:w="1777" w:type="dxa"/>
            <w:vMerge w:val="restart"/>
            <w:vAlign w:val="center"/>
          </w:tcPr>
          <w:p>
            <w:pPr>
              <w:jc w:val="left"/>
              <w:rPr>
                <w:rFonts w:ascii="仿宋_GB2312" w:hAnsi="宋体" w:eastAsia="仿宋_GB2312"/>
                <w:sz w:val="18"/>
                <w:szCs w:val="18"/>
              </w:rPr>
            </w:pPr>
          </w:p>
          <w:p>
            <w:pPr>
              <w:jc w:val="left"/>
              <w:rPr>
                <w:rFonts w:ascii="仿宋_GB2312" w:hAnsi="宋体" w:eastAsia="仿宋_GB2312"/>
                <w:sz w:val="18"/>
                <w:szCs w:val="18"/>
              </w:rPr>
            </w:pPr>
          </w:p>
          <w:p>
            <w:pPr>
              <w:jc w:val="left"/>
              <w:rPr>
                <w:rFonts w:ascii="仿宋_GB2312" w:hAnsi="宋体" w:eastAsia="仿宋_GB2312"/>
                <w:sz w:val="18"/>
                <w:szCs w:val="18"/>
              </w:rPr>
            </w:pPr>
          </w:p>
          <w:p>
            <w:pPr>
              <w:jc w:val="left"/>
              <w:rPr>
                <w:rFonts w:ascii="仿宋_GB2312" w:hAnsi="宋体" w:eastAsia="仿宋_GB2312"/>
                <w:sz w:val="18"/>
                <w:szCs w:val="18"/>
              </w:rPr>
            </w:pPr>
            <w:r>
              <w:rPr>
                <w:rFonts w:hint="eastAsia" w:ascii="仿宋_GB2312" w:hAnsi="宋体" w:eastAsia="仿宋_GB2312"/>
                <w:sz w:val="18"/>
                <w:szCs w:val="18"/>
              </w:rPr>
              <w:t>受理条件；申请材料；受理时间、地点；办理流程；咨询方式、监督投诉渠道</w:t>
            </w:r>
          </w:p>
          <w:p>
            <w:pPr>
              <w:jc w:val="left"/>
              <w:rPr>
                <w:rFonts w:ascii="仿宋_GB2312" w:hAnsi="宋体" w:eastAsia="仿宋_GB2312"/>
                <w:sz w:val="18"/>
                <w:szCs w:val="18"/>
              </w:rPr>
            </w:pPr>
          </w:p>
          <w:p>
            <w:pPr>
              <w:jc w:val="left"/>
              <w:rPr>
                <w:rFonts w:ascii="仿宋_GB2312" w:hAnsi="宋体" w:eastAsia="仿宋_GB2312"/>
                <w:sz w:val="18"/>
                <w:szCs w:val="18"/>
              </w:rPr>
            </w:pPr>
          </w:p>
          <w:p>
            <w:pPr>
              <w:rPr>
                <w:rFonts w:ascii="仿宋_GB2312" w:hAnsi="宋体" w:eastAsia="仿宋_GB2312"/>
                <w:sz w:val="18"/>
                <w:szCs w:val="18"/>
              </w:rPr>
            </w:pPr>
          </w:p>
        </w:tc>
        <w:tc>
          <w:tcPr>
            <w:tcW w:w="2410"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《中华人民共和国政府信息公开条例》（中华人民共和国国务院令第711号）</w:t>
            </w:r>
            <w:r>
              <w:rPr>
                <w:rFonts w:hint="eastAsia" w:ascii="仿宋_GB2312" w:hAnsi="宋体" w:eastAsia="仿宋_GB2312"/>
                <w:sz w:val="18"/>
                <w:szCs w:val="18"/>
              </w:rPr>
              <w:t>、《社会保险法》、《人力资源和社会保障部关于印发“中华人民共和国社会保障卡”管理办法的通知》</w:t>
            </w: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tc>
        <w:tc>
          <w:tcPr>
            <w:tcW w:w="1701" w:type="dxa"/>
            <w:vMerge w:val="restart"/>
            <w:vAlign w:val="center"/>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r>
              <w:rPr>
                <w:rFonts w:hint="eastAsia" w:ascii="仿宋_GB2312" w:hAnsi="宋体" w:eastAsia="仿宋_GB2312"/>
                <w:sz w:val="18"/>
                <w:szCs w:val="18"/>
              </w:rPr>
              <w:t>公开事项信息形成或变更之日起20个工作日内公开</w:t>
            </w: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tc>
        <w:tc>
          <w:tcPr>
            <w:tcW w:w="1199" w:type="dxa"/>
            <w:vMerge w:val="restart"/>
            <w:vAlign w:val="center"/>
          </w:tcPr>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tc>
        <w:tc>
          <w:tcPr>
            <w:tcW w:w="1778" w:type="dxa"/>
            <w:vMerge w:val="restart"/>
            <w:vAlign w:val="center"/>
          </w:tcPr>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FF0000"/>
                <w:sz w:val="18"/>
                <w:szCs w:val="18"/>
              </w:rPr>
            </w:pPr>
            <w:r>
              <w:rPr>
                <w:rFonts w:hint="eastAsia" w:ascii="仿宋_GB2312" w:hAnsi="宋体" w:eastAsia="仿宋_GB2312"/>
                <w:color w:val="000000" w:themeColor="text1"/>
                <w:sz w:val="18"/>
                <w:szCs w:val="18"/>
                <w14:textFill>
                  <w14:solidFill>
                    <w14:schemeClr w14:val="tx1"/>
                  </w14:solidFill>
                </w14:textFill>
              </w:rPr>
              <w:t>■党群服务中心</w:t>
            </w:r>
          </w:p>
          <w:p>
            <w:pPr>
              <w:rPr>
                <w:rFonts w:ascii="仿宋_GB2312" w:hAnsi="宋体" w:eastAsia="仿宋_GB2312"/>
                <w:color w:val="FF0000"/>
                <w:sz w:val="18"/>
                <w:szCs w:val="18"/>
              </w:rPr>
            </w:pPr>
          </w:p>
          <w:p>
            <w:pPr>
              <w:rPr>
                <w:rFonts w:ascii="仿宋_GB2312" w:hAnsi="宋体" w:eastAsia="仿宋_GB2312"/>
                <w:color w:val="FF0000"/>
                <w:sz w:val="18"/>
                <w:szCs w:val="18"/>
              </w:rPr>
            </w:pPr>
          </w:p>
          <w:p>
            <w:pPr>
              <w:rPr>
                <w:rFonts w:ascii="仿宋_GB2312" w:hAnsi="宋体" w:eastAsia="仿宋_GB2312"/>
                <w:color w:val="FF0000"/>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7</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社会保障卡启用（含社会保障卡银行账户激活）</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8</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社会保障卡应用状态查询</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9</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社会保障卡信息变更（非关键信息）</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10</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社会保障卡密码修改与重置</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11</w:t>
            </w:r>
          </w:p>
        </w:tc>
        <w:tc>
          <w:tcPr>
            <w:tcW w:w="709" w:type="dxa"/>
            <w:vMerge w:val="continue"/>
          </w:tcPr>
          <w:p>
            <w:pPr>
              <w:jc w:val="center"/>
              <w:rPr>
                <w:rFonts w:ascii="仿宋_GB2312" w:hAnsi="宋体" w:eastAsia="仿宋_GB2312"/>
                <w:sz w:val="18"/>
                <w:szCs w:val="18"/>
              </w:rPr>
            </w:pPr>
          </w:p>
        </w:tc>
        <w:tc>
          <w:tcPr>
            <w:tcW w:w="929" w:type="dxa"/>
            <w:vMerge w:val="continue"/>
            <w:vAlign w:val="center"/>
          </w:tcPr>
          <w:p>
            <w:pPr>
              <w:jc w:val="cente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社会保障卡挂失与解挂</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12</w:t>
            </w:r>
          </w:p>
        </w:tc>
        <w:tc>
          <w:tcPr>
            <w:tcW w:w="709" w:type="dxa"/>
            <w:vMerge w:val="continue"/>
          </w:tcPr>
          <w:p>
            <w:pPr>
              <w:rPr>
                <w:rFonts w:ascii="仿宋_GB2312" w:hAnsi="宋体" w:eastAsia="仿宋_GB2312"/>
                <w:sz w:val="18"/>
                <w:szCs w:val="18"/>
              </w:rPr>
            </w:pPr>
          </w:p>
        </w:tc>
        <w:tc>
          <w:tcPr>
            <w:tcW w:w="929" w:type="dxa"/>
            <w:vMerge w:val="continue"/>
            <w:vAlign w:val="center"/>
          </w:tcPr>
          <w:p>
            <w:pP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社会保障卡补换、换领、换发</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489" w:type="dxa"/>
            <w:vAlign w:val="center"/>
          </w:tcPr>
          <w:p>
            <w:pPr>
              <w:jc w:val="center"/>
              <w:rPr>
                <w:rFonts w:ascii="仿宋_GB2312" w:hAnsi="宋体" w:eastAsia="仿宋_GB2312"/>
                <w:sz w:val="18"/>
                <w:szCs w:val="18"/>
              </w:rPr>
            </w:pPr>
            <w:r>
              <w:rPr>
                <w:rFonts w:ascii="仿宋_GB2312" w:hAnsi="宋体" w:eastAsia="仿宋_GB2312"/>
                <w:sz w:val="18"/>
                <w:szCs w:val="18"/>
              </w:rPr>
              <w:t>13</w:t>
            </w:r>
          </w:p>
        </w:tc>
        <w:tc>
          <w:tcPr>
            <w:tcW w:w="709" w:type="dxa"/>
            <w:vMerge w:val="continue"/>
          </w:tcPr>
          <w:p>
            <w:pPr>
              <w:rPr>
                <w:rFonts w:ascii="仿宋_GB2312" w:hAnsi="宋体" w:eastAsia="仿宋_GB2312"/>
                <w:sz w:val="18"/>
                <w:szCs w:val="18"/>
              </w:rPr>
            </w:pPr>
          </w:p>
        </w:tc>
        <w:tc>
          <w:tcPr>
            <w:tcW w:w="929" w:type="dxa"/>
            <w:vMerge w:val="continue"/>
            <w:vAlign w:val="center"/>
          </w:tcPr>
          <w:p>
            <w:pPr>
              <w:rPr>
                <w:rFonts w:ascii="仿宋_GB2312" w:hAnsi="宋体" w:eastAsia="仿宋_GB2312"/>
                <w:sz w:val="18"/>
                <w:szCs w:val="18"/>
              </w:rPr>
            </w:pPr>
          </w:p>
        </w:tc>
        <w:tc>
          <w:tcPr>
            <w:tcW w:w="1481" w:type="dxa"/>
            <w:vAlign w:val="center"/>
          </w:tcPr>
          <w:p>
            <w:pPr>
              <w:rPr>
                <w:rFonts w:ascii="仿宋_GB2312" w:hAnsi="宋体" w:eastAsia="仿宋_GB2312"/>
                <w:sz w:val="18"/>
                <w:szCs w:val="18"/>
              </w:rPr>
            </w:pPr>
            <w:r>
              <w:rPr>
                <w:rFonts w:hint="eastAsia" w:ascii="仿宋_GB2312" w:hAnsi="宋体" w:eastAsia="仿宋_GB2312"/>
                <w:sz w:val="18"/>
                <w:szCs w:val="18"/>
              </w:rPr>
              <w:t>社会保障卡注销</w:t>
            </w:r>
          </w:p>
        </w:tc>
        <w:tc>
          <w:tcPr>
            <w:tcW w:w="1777" w:type="dxa"/>
            <w:vMerge w:val="continue"/>
            <w:vAlign w:val="center"/>
          </w:tcPr>
          <w:p>
            <w:pPr>
              <w:rPr>
                <w:rFonts w:ascii="仿宋_GB2312" w:hAnsi="宋体" w:eastAsia="仿宋_GB2312"/>
                <w:sz w:val="18"/>
                <w:szCs w:val="18"/>
              </w:rPr>
            </w:pPr>
          </w:p>
        </w:tc>
        <w:tc>
          <w:tcPr>
            <w:tcW w:w="2410" w:type="dxa"/>
            <w:vMerge w:val="continue"/>
            <w:vAlign w:val="center"/>
          </w:tcPr>
          <w:p>
            <w:pPr>
              <w:rPr>
                <w:rFonts w:ascii="仿宋_GB2312" w:hAnsi="宋体" w:eastAsia="仿宋_GB2312"/>
                <w:sz w:val="18"/>
                <w:szCs w:val="18"/>
              </w:rPr>
            </w:pPr>
          </w:p>
        </w:tc>
        <w:tc>
          <w:tcPr>
            <w:tcW w:w="1701" w:type="dxa"/>
            <w:vMerge w:val="continue"/>
            <w:vAlign w:val="center"/>
          </w:tcPr>
          <w:p>
            <w:pPr>
              <w:rPr>
                <w:rFonts w:ascii="仿宋_GB2312" w:hAnsi="宋体" w:eastAsia="仿宋_GB2312"/>
                <w:sz w:val="18"/>
                <w:szCs w:val="18"/>
              </w:rPr>
            </w:pPr>
          </w:p>
        </w:tc>
        <w:tc>
          <w:tcPr>
            <w:tcW w:w="1199" w:type="dxa"/>
            <w:vMerge w:val="continue"/>
            <w:vAlign w:val="center"/>
          </w:tcPr>
          <w:p>
            <w:pPr>
              <w:rPr>
                <w:rFonts w:ascii="仿宋_GB2312" w:hAnsi="宋体" w:eastAsia="仿宋_GB2312"/>
                <w:sz w:val="18"/>
                <w:szCs w:val="18"/>
              </w:rPr>
            </w:pPr>
          </w:p>
        </w:tc>
        <w:tc>
          <w:tcPr>
            <w:tcW w:w="1778" w:type="dxa"/>
            <w:vMerge w:val="continue"/>
            <w:vAlign w:val="center"/>
          </w:tcPr>
          <w:p>
            <w:pPr>
              <w:rPr>
                <w:rFonts w:ascii="仿宋_GB2312" w:hAnsi="宋体" w:eastAsia="仿宋_GB2312"/>
                <w:sz w:val="18"/>
                <w:szCs w:val="18"/>
              </w:rPr>
            </w:pPr>
          </w:p>
        </w:tc>
        <w:tc>
          <w:tcPr>
            <w:tcW w:w="709"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567"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vAlign w:val="center"/>
          </w:tcPr>
          <w:p>
            <w:pPr>
              <w:jc w:val="center"/>
              <w:rPr>
                <w:rFonts w:ascii="仿宋_GB2312" w:hAnsi="宋体" w:eastAsia="仿宋_GB2312"/>
                <w:sz w:val="18"/>
                <w:szCs w:val="18"/>
              </w:rPr>
            </w:pPr>
          </w:p>
        </w:tc>
        <w:tc>
          <w:tcPr>
            <w:tcW w:w="567" w:type="dxa"/>
            <w:vAlign w:val="center"/>
          </w:tcPr>
          <w:p>
            <w:pPr>
              <w:jc w:val="center"/>
              <w:rPr>
                <w:rFonts w:ascii="仿宋_GB2312" w:hAnsi="宋体" w:eastAsia="仿宋_GB2312"/>
                <w:sz w:val="18"/>
                <w:szCs w:val="18"/>
              </w:rPr>
            </w:pPr>
          </w:p>
        </w:tc>
        <w:tc>
          <w:tcPr>
            <w:tcW w:w="522" w:type="dxa"/>
          </w:tcPr>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2" w:name="_Toc1782"/>
      <w:r>
        <w:rPr>
          <w:rFonts w:hint="eastAsia" w:ascii="方正小标宋_GBK" w:hAnsi="方正小标宋_GBK" w:eastAsia="方正小标宋_GBK"/>
          <w:b w:val="0"/>
          <w:bCs w:val="0"/>
          <w:sz w:val="30"/>
        </w:rPr>
        <w:t>（八）就业领域基层政务公开标准目录</w:t>
      </w:r>
      <w:bookmarkEnd w:id="12"/>
    </w:p>
    <w:tbl>
      <w:tblPr>
        <w:tblStyle w:val="10"/>
        <w:tblW w:w="16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683"/>
        <w:gridCol w:w="870"/>
        <w:gridCol w:w="1733"/>
        <w:gridCol w:w="1843"/>
        <w:gridCol w:w="2174"/>
        <w:gridCol w:w="1424"/>
        <w:gridCol w:w="1080"/>
        <w:gridCol w:w="2146"/>
        <w:gridCol w:w="622"/>
        <w:gridCol w:w="640"/>
        <w:gridCol w:w="643"/>
        <w:gridCol w:w="712"/>
        <w:gridCol w:w="632"/>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74"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68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260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4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7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3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574" w:type="dxa"/>
            <w:vMerge w:val="continue"/>
            <w:vAlign w:val="center"/>
          </w:tcPr>
          <w:p>
            <w:pPr>
              <w:widowControl/>
              <w:jc w:val="left"/>
              <w:rPr>
                <w:rFonts w:ascii="Times New Roman" w:hAnsi="Times New Roman"/>
                <w:color w:val="000000"/>
                <w:kern w:val="0"/>
                <w:sz w:val="22"/>
              </w:rPr>
            </w:pPr>
          </w:p>
        </w:tc>
        <w:tc>
          <w:tcPr>
            <w:tcW w:w="683" w:type="dxa"/>
            <w:vMerge w:val="continue"/>
          </w:tcPr>
          <w:p>
            <w:pPr>
              <w:widowControl/>
              <w:jc w:val="center"/>
              <w:rPr>
                <w:rFonts w:ascii="黑体" w:hAnsi="宋体" w:eastAsia="黑体" w:cs="宋体"/>
                <w:color w:val="000000"/>
                <w:kern w:val="0"/>
                <w:sz w:val="22"/>
              </w:rPr>
            </w:pPr>
          </w:p>
        </w:tc>
        <w:tc>
          <w:tcPr>
            <w:tcW w:w="87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3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43" w:type="dxa"/>
            <w:vMerge w:val="continue"/>
            <w:vAlign w:val="center"/>
          </w:tcPr>
          <w:p>
            <w:pPr>
              <w:widowControl/>
              <w:jc w:val="left"/>
              <w:rPr>
                <w:rFonts w:ascii="黑体" w:hAnsi="宋体" w:eastAsia="黑体" w:cs="宋体"/>
                <w:color w:val="000000"/>
                <w:kern w:val="0"/>
                <w:sz w:val="22"/>
              </w:rPr>
            </w:pPr>
          </w:p>
        </w:tc>
        <w:tc>
          <w:tcPr>
            <w:tcW w:w="2174" w:type="dxa"/>
            <w:vMerge w:val="continue"/>
            <w:vAlign w:val="center"/>
          </w:tcPr>
          <w:p>
            <w:pPr>
              <w:widowControl/>
              <w:jc w:val="left"/>
              <w:rPr>
                <w:rFonts w:ascii="黑体" w:hAnsi="宋体" w:eastAsia="黑体" w:cs="宋体"/>
                <w:color w:val="000000"/>
                <w:kern w:val="0"/>
                <w:sz w:val="22"/>
              </w:rPr>
            </w:pPr>
          </w:p>
        </w:tc>
        <w:tc>
          <w:tcPr>
            <w:tcW w:w="1424"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146" w:type="dxa"/>
            <w:vMerge w:val="continue"/>
            <w:vAlign w:val="center"/>
          </w:tcPr>
          <w:p>
            <w:pPr>
              <w:widowControl/>
              <w:jc w:val="left"/>
              <w:rPr>
                <w:rFonts w:ascii="黑体" w:hAnsi="宋体" w:eastAsia="黑体" w:cs="宋体"/>
                <w:kern w:val="0"/>
                <w:sz w:val="22"/>
              </w:rPr>
            </w:pPr>
          </w:p>
        </w:tc>
        <w:tc>
          <w:tcPr>
            <w:tcW w:w="62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4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0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574"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68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w:t>
            </w:r>
          </w:p>
          <w:p>
            <w:pPr>
              <w:jc w:val="center"/>
              <w:rPr>
                <w:rFonts w:ascii="仿宋_GB2312" w:hAnsi="宋体" w:eastAsia="仿宋_GB2312"/>
                <w:color w:val="000000"/>
                <w:sz w:val="18"/>
                <w:szCs w:val="18"/>
              </w:rPr>
            </w:pPr>
          </w:p>
        </w:tc>
        <w:tc>
          <w:tcPr>
            <w:tcW w:w="87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就业失业登记</w:t>
            </w:r>
          </w:p>
        </w:tc>
        <w:tc>
          <w:tcPr>
            <w:tcW w:w="173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就业登记、失</w:t>
            </w:r>
          </w:p>
          <w:p>
            <w:pPr>
              <w:rPr>
                <w:rFonts w:ascii="仿宋_GB2312" w:hAnsi="宋体" w:eastAsia="仿宋_GB2312"/>
                <w:color w:val="000000"/>
                <w:sz w:val="18"/>
                <w:szCs w:val="18"/>
              </w:rPr>
            </w:pPr>
            <w:r>
              <w:rPr>
                <w:rFonts w:hint="eastAsia" w:ascii="仿宋_GB2312" w:hAnsi="宋体" w:eastAsia="仿宋_GB2312"/>
                <w:color w:val="000000"/>
                <w:sz w:val="18"/>
                <w:szCs w:val="18"/>
              </w:rPr>
              <w:t>业登记及《就业失业登记证》发放</w:t>
            </w:r>
          </w:p>
        </w:tc>
        <w:tc>
          <w:tcPr>
            <w:tcW w:w="1843"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受理地点及时间、受理条件、申请材料、办理流程、咨询方式、监督投诉方式</w:t>
            </w:r>
          </w:p>
        </w:tc>
        <w:tc>
          <w:tcPr>
            <w:tcW w:w="21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tc>
        <w:tc>
          <w:tcPr>
            <w:tcW w:w="1424"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080"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2146" w:type="dxa"/>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83" w:type="dxa"/>
            <w:vMerge w:val="continue"/>
            <w:vAlign w:val="center"/>
          </w:tcPr>
          <w:p>
            <w:pPr>
              <w:jc w:val="center"/>
              <w:rPr>
                <w:rFonts w:ascii="仿宋_GB2312" w:hAnsi="宋体" w:eastAsia="仿宋_GB2312"/>
                <w:color w:val="000000"/>
                <w:sz w:val="18"/>
                <w:szCs w:val="18"/>
              </w:rPr>
            </w:pPr>
          </w:p>
        </w:tc>
        <w:tc>
          <w:tcPr>
            <w:tcW w:w="87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733"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一次性创业补贴、一次性创业岗位 开发补贴资格初审</w:t>
            </w:r>
          </w:p>
        </w:tc>
        <w:tc>
          <w:tcPr>
            <w:tcW w:w="1843" w:type="dxa"/>
            <w:vAlign w:val="center"/>
          </w:tcPr>
          <w:p>
            <w:r>
              <w:rPr>
                <w:rFonts w:ascii="仿宋_GB2312" w:hAnsi="宋体" w:eastAsia="仿宋_GB2312"/>
                <w:color w:val="000000"/>
                <w:sz w:val="18"/>
                <w:szCs w:val="18"/>
              </w:rPr>
              <w:t>受理地点及时间、受理条件、申请材料、办理流程、咨询方式、监督投诉方式</w:t>
            </w:r>
          </w:p>
        </w:tc>
        <w:tc>
          <w:tcPr>
            <w:tcW w:w="217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tc>
        <w:tc>
          <w:tcPr>
            <w:tcW w:w="1424" w:type="dxa"/>
            <w:vAlign w:val="center"/>
          </w:tcPr>
          <w:p>
            <w:r>
              <w:rPr>
                <w:rFonts w:ascii="仿宋_GB2312" w:hAnsi="宋体" w:eastAsia="仿宋_GB2312"/>
                <w:color w:val="000000"/>
                <w:sz w:val="18"/>
                <w:szCs w:val="18"/>
              </w:rPr>
              <w:t>信息形成或变更之日起20个工作日内</w:t>
            </w:r>
          </w:p>
        </w:tc>
        <w:tc>
          <w:tcPr>
            <w:tcW w:w="1080" w:type="dxa"/>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2146" w:type="dxa"/>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■党群服务中心</w:t>
            </w: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83" w:type="dxa"/>
            <w:vMerge w:val="continue"/>
            <w:vAlign w:val="center"/>
          </w:tcPr>
          <w:p>
            <w:pPr>
              <w:jc w:val="center"/>
              <w:rPr>
                <w:rFonts w:ascii="仿宋_GB2312" w:hAnsi="宋体" w:eastAsia="仿宋_GB2312"/>
                <w:color w:val="000000"/>
                <w:sz w:val="18"/>
                <w:szCs w:val="18"/>
              </w:rPr>
            </w:pPr>
          </w:p>
        </w:tc>
        <w:tc>
          <w:tcPr>
            <w:tcW w:w="87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就业困难人员服务信息</w:t>
            </w:r>
          </w:p>
        </w:tc>
        <w:tc>
          <w:tcPr>
            <w:tcW w:w="1733" w:type="dxa"/>
            <w:vAlign w:val="center"/>
          </w:tcPr>
          <w:p>
            <w:pPr>
              <w:jc w:val="center"/>
            </w:pPr>
            <w:r>
              <w:rPr>
                <w:rFonts w:hint="eastAsia" w:ascii="仿宋_GB2312" w:hAnsi="宋体" w:eastAsia="仿宋_GB2312"/>
                <w:color w:val="000000"/>
                <w:sz w:val="18"/>
                <w:szCs w:val="18"/>
              </w:rPr>
              <w:t>就业困难人员认定</w:t>
            </w:r>
          </w:p>
        </w:tc>
        <w:tc>
          <w:tcPr>
            <w:tcW w:w="1843" w:type="dxa"/>
            <w:vMerge w:val="restart"/>
            <w:vAlign w:val="center"/>
          </w:tcPr>
          <w:p>
            <w:pPr>
              <w:jc w:val="center"/>
            </w:pPr>
            <w:r>
              <w:rPr>
                <w:rFonts w:ascii="仿宋_GB2312" w:hAnsi="宋体" w:eastAsia="仿宋_GB2312"/>
                <w:color w:val="000000"/>
                <w:sz w:val="18"/>
                <w:szCs w:val="18"/>
              </w:rPr>
              <w:t>受理地点及时间、受理条件、申请材料、办理流程、咨询方式、监督投诉方式</w:t>
            </w:r>
          </w:p>
        </w:tc>
        <w:tc>
          <w:tcPr>
            <w:tcW w:w="217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《中华人民共和国政府信息公开条例》（中华人民共和国国务院令第711号）、《就业促进法》、《人力资源市场暂行条例》</w:t>
            </w:r>
          </w:p>
          <w:p>
            <w:pPr>
              <w:rPr>
                <w:rFonts w:ascii="仿宋_GB2312" w:hAnsi="宋体" w:eastAsia="仿宋_GB2312"/>
                <w:color w:val="000000"/>
                <w:sz w:val="18"/>
                <w:szCs w:val="18"/>
              </w:rPr>
            </w:pPr>
          </w:p>
        </w:tc>
        <w:tc>
          <w:tcPr>
            <w:tcW w:w="1424" w:type="dxa"/>
            <w:vMerge w:val="restart"/>
            <w:vAlign w:val="center"/>
          </w:tcPr>
          <w:p>
            <w:r>
              <w:rPr>
                <w:rFonts w:ascii="仿宋_GB2312" w:hAnsi="宋体" w:eastAsia="仿宋_GB2312"/>
                <w:color w:val="000000"/>
                <w:sz w:val="18"/>
                <w:szCs w:val="18"/>
              </w:rPr>
              <w:t>信息形成或变更之日起20个工作日内</w:t>
            </w:r>
          </w:p>
          <w:p/>
        </w:tc>
        <w:tc>
          <w:tcPr>
            <w:tcW w:w="1080" w:type="dxa"/>
            <w:vMerge w:val="restart"/>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p>
            <w:pPr>
              <w:jc w:val="center"/>
              <w:rPr>
                <w:rFonts w:ascii="仿宋_GB2312" w:hAnsi="宋体" w:eastAsia="仿宋_GB2312"/>
                <w:color w:val="000000" w:themeColor="text1"/>
                <w:sz w:val="18"/>
                <w:szCs w:val="18"/>
                <w14:textFill>
                  <w14:solidFill>
                    <w14:schemeClr w14:val="tx1"/>
                  </w14:solidFill>
                </w14:textFill>
              </w:rPr>
            </w:pPr>
          </w:p>
        </w:tc>
        <w:tc>
          <w:tcPr>
            <w:tcW w:w="214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83" w:type="dxa"/>
            <w:vMerge w:val="continue"/>
          </w:tcPr>
          <w:p>
            <w:pPr>
              <w:jc w:val="center"/>
              <w:rPr>
                <w:rFonts w:ascii="仿宋_GB2312" w:hAnsi="宋体" w:eastAsia="仿宋_GB2312"/>
                <w:color w:val="000000"/>
                <w:sz w:val="18"/>
                <w:szCs w:val="18"/>
              </w:rPr>
            </w:pPr>
          </w:p>
        </w:tc>
        <w:tc>
          <w:tcPr>
            <w:tcW w:w="870" w:type="dxa"/>
            <w:vMerge w:val="continue"/>
            <w:vAlign w:val="center"/>
          </w:tcPr>
          <w:p>
            <w:pPr>
              <w:jc w:val="center"/>
              <w:rPr>
                <w:rFonts w:ascii="仿宋_GB2312" w:hAnsi="宋体" w:eastAsia="仿宋_GB2312"/>
                <w:color w:val="000000"/>
                <w:sz w:val="18"/>
                <w:szCs w:val="18"/>
              </w:rPr>
            </w:pPr>
          </w:p>
        </w:tc>
        <w:tc>
          <w:tcPr>
            <w:tcW w:w="173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企业（单位）吸</w:t>
            </w:r>
          </w:p>
          <w:p>
            <w:pPr>
              <w:rPr>
                <w:rFonts w:ascii="仿宋_GB2312" w:hAnsi="宋体" w:eastAsia="仿宋_GB2312"/>
                <w:color w:val="000000"/>
                <w:sz w:val="18"/>
                <w:szCs w:val="18"/>
              </w:rPr>
            </w:pPr>
            <w:r>
              <w:rPr>
                <w:rFonts w:hint="eastAsia" w:ascii="仿宋_GB2312" w:hAnsi="宋体" w:eastAsia="仿宋_GB2312"/>
                <w:color w:val="000000"/>
                <w:sz w:val="18"/>
                <w:szCs w:val="18"/>
              </w:rPr>
              <w:t>纳就业困难人员社保补贴资格初审</w:t>
            </w:r>
          </w:p>
        </w:tc>
        <w:tc>
          <w:tcPr>
            <w:tcW w:w="1843" w:type="dxa"/>
            <w:vMerge w:val="continue"/>
            <w:vAlign w:val="center"/>
          </w:tcPr>
          <w:p>
            <w:pPr>
              <w:jc w:val="center"/>
            </w:pPr>
          </w:p>
        </w:tc>
        <w:tc>
          <w:tcPr>
            <w:tcW w:w="2174" w:type="dxa"/>
            <w:vMerge w:val="continue"/>
            <w:vAlign w:val="center"/>
          </w:tcPr>
          <w:p>
            <w:pPr>
              <w:rPr>
                <w:rFonts w:ascii="仿宋_GB2312" w:hAnsi="宋体" w:eastAsia="仿宋_GB2312"/>
                <w:color w:val="000000"/>
                <w:sz w:val="18"/>
                <w:szCs w:val="18"/>
              </w:rPr>
            </w:pPr>
          </w:p>
        </w:tc>
        <w:tc>
          <w:tcPr>
            <w:tcW w:w="1424" w:type="dxa"/>
            <w:vMerge w:val="continue"/>
            <w:vAlign w:val="center"/>
          </w:tcPr>
          <w:p/>
        </w:tc>
        <w:tc>
          <w:tcPr>
            <w:tcW w:w="1080" w:type="dxa"/>
            <w:vMerge w:val="continue"/>
            <w:vAlign w:val="center"/>
          </w:tcPr>
          <w:p>
            <w:pPr>
              <w:rPr>
                <w:rFonts w:ascii="仿宋_GB2312" w:hAnsi="宋体" w:eastAsia="仿宋_GB2312"/>
                <w:color w:val="000000"/>
                <w:sz w:val="18"/>
                <w:szCs w:val="18"/>
              </w:rPr>
            </w:pPr>
          </w:p>
        </w:tc>
        <w:tc>
          <w:tcPr>
            <w:tcW w:w="2146" w:type="dxa"/>
            <w:vMerge w:val="continue"/>
            <w:vAlign w:val="center"/>
          </w:tcPr>
          <w:p>
            <w:pPr>
              <w:rPr>
                <w:rFonts w:ascii="仿宋_GB2312" w:hAnsi="宋体" w:eastAsia="仿宋_GB2312"/>
                <w:color w:val="000000"/>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5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83" w:type="dxa"/>
            <w:vMerge w:val="continue"/>
          </w:tcPr>
          <w:p>
            <w:pPr>
              <w:jc w:val="center"/>
              <w:rPr>
                <w:rFonts w:ascii="仿宋_GB2312" w:hAnsi="宋体" w:eastAsia="仿宋_GB2312"/>
                <w:color w:val="000000"/>
                <w:sz w:val="18"/>
                <w:szCs w:val="18"/>
              </w:rPr>
            </w:pPr>
          </w:p>
        </w:tc>
        <w:tc>
          <w:tcPr>
            <w:tcW w:w="870" w:type="dxa"/>
            <w:vMerge w:val="continue"/>
            <w:vAlign w:val="center"/>
          </w:tcPr>
          <w:p>
            <w:pPr>
              <w:jc w:val="center"/>
              <w:rPr>
                <w:rFonts w:ascii="仿宋_GB2312" w:hAnsi="宋体" w:eastAsia="仿宋_GB2312"/>
                <w:color w:val="000000"/>
                <w:sz w:val="18"/>
                <w:szCs w:val="18"/>
              </w:rPr>
            </w:pPr>
          </w:p>
        </w:tc>
        <w:tc>
          <w:tcPr>
            <w:tcW w:w="173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适合残疾人就业的公益性岗位开发及补贴</w:t>
            </w:r>
          </w:p>
        </w:tc>
        <w:tc>
          <w:tcPr>
            <w:tcW w:w="1843" w:type="dxa"/>
            <w:vMerge w:val="continue"/>
            <w:vAlign w:val="center"/>
          </w:tcPr>
          <w:p>
            <w:pPr>
              <w:jc w:val="center"/>
            </w:pPr>
          </w:p>
        </w:tc>
        <w:tc>
          <w:tcPr>
            <w:tcW w:w="2174" w:type="dxa"/>
            <w:vMerge w:val="continue"/>
            <w:vAlign w:val="center"/>
          </w:tcPr>
          <w:p>
            <w:pPr>
              <w:rPr>
                <w:rFonts w:ascii="仿宋_GB2312" w:hAnsi="宋体" w:eastAsia="仿宋_GB2312"/>
                <w:color w:val="000000"/>
                <w:sz w:val="18"/>
                <w:szCs w:val="18"/>
              </w:rPr>
            </w:pPr>
          </w:p>
        </w:tc>
        <w:tc>
          <w:tcPr>
            <w:tcW w:w="1424" w:type="dxa"/>
            <w:vMerge w:val="continue"/>
            <w:vAlign w:val="center"/>
          </w:tcPr>
          <w:p/>
        </w:tc>
        <w:tc>
          <w:tcPr>
            <w:tcW w:w="1080" w:type="dxa"/>
            <w:vMerge w:val="continue"/>
            <w:vAlign w:val="center"/>
          </w:tcPr>
          <w:p>
            <w:pPr>
              <w:rPr>
                <w:rFonts w:ascii="仿宋_GB2312" w:hAnsi="宋体" w:eastAsia="仿宋_GB2312"/>
                <w:color w:val="000000"/>
                <w:sz w:val="18"/>
                <w:szCs w:val="18"/>
              </w:rPr>
            </w:pPr>
          </w:p>
        </w:tc>
        <w:tc>
          <w:tcPr>
            <w:tcW w:w="2146" w:type="dxa"/>
            <w:vMerge w:val="continue"/>
            <w:vAlign w:val="center"/>
          </w:tcPr>
          <w:p>
            <w:pPr>
              <w:rPr>
                <w:rFonts w:ascii="仿宋_GB2312" w:hAnsi="宋体" w:eastAsia="仿宋_GB2312"/>
                <w:color w:val="000000"/>
                <w:sz w:val="18"/>
                <w:szCs w:val="18"/>
              </w:rPr>
            </w:pPr>
          </w:p>
        </w:tc>
        <w:tc>
          <w:tcPr>
            <w:tcW w:w="62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40" w:type="dxa"/>
            <w:vAlign w:val="center"/>
          </w:tcPr>
          <w:p>
            <w:pPr>
              <w:rPr>
                <w:rFonts w:ascii="仿宋_GB2312" w:hAnsi="宋体" w:eastAsia="仿宋_GB2312"/>
                <w:color w:val="000000"/>
                <w:sz w:val="18"/>
                <w:szCs w:val="18"/>
              </w:rPr>
            </w:pPr>
          </w:p>
        </w:tc>
        <w:tc>
          <w:tcPr>
            <w:tcW w:w="64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632" w:type="dxa"/>
            <w:vAlign w:val="center"/>
          </w:tcPr>
          <w:p>
            <w:pPr>
              <w:rPr>
                <w:rFonts w:ascii="仿宋_GB2312" w:hAnsi="宋体" w:eastAsia="仿宋_GB2312"/>
                <w:color w:val="000000"/>
                <w:sz w:val="18"/>
                <w:szCs w:val="18"/>
              </w:rPr>
            </w:pPr>
          </w:p>
        </w:tc>
        <w:tc>
          <w:tcPr>
            <w:tcW w:w="507" w:type="dxa"/>
          </w:tcPr>
          <w:p>
            <w:pPr>
              <w:rPr>
                <w:rFonts w:ascii="仿宋_GB2312" w:hAnsi="宋体" w:eastAsia="仿宋_GB2312"/>
                <w:sz w:val="18"/>
                <w:szCs w:val="18"/>
              </w:rPr>
            </w:pPr>
          </w:p>
          <w:p>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3" w:name="_Toc32568"/>
      <w:r>
        <w:rPr>
          <w:rFonts w:hint="eastAsia" w:ascii="方正小标宋_GBK" w:hAnsi="方正小标宋_GBK" w:eastAsia="方正小标宋_GBK"/>
          <w:b w:val="0"/>
          <w:bCs w:val="0"/>
          <w:sz w:val="30"/>
        </w:rPr>
        <w:t>（九）卫生健康领域基层政务公开标准目录</w:t>
      </w:r>
      <w:bookmarkEnd w:id="13"/>
    </w:p>
    <w:tbl>
      <w:tblPr>
        <w:tblStyle w:val="10"/>
        <w:tblW w:w="15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830"/>
        <w:gridCol w:w="693"/>
        <w:gridCol w:w="957"/>
        <w:gridCol w:w="2062"/>
        <w:gridCol w:w="2191"/>
        <w:gridCol w:w="1535"/>
        <w:gridCol w:w="1365"/>
        <w:gridCol w:w="1930"/>
        <w:gridCol w:w="556"/>
        <w:gridCol w:w="556"/>
        <w:gridCol w:w="556"/>
        <w:gridCol w:w="693"/>
        <w:gridCol w:w="621"/>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55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830" w:type="dxa"/>
            <w:vMerge w:val="restart"/>
            <w:vAlign w:val="center"/>
          </w:tcPr>
          <w:p>
            <w:pPr>
              <w:widowControl/>
              <w:ind w:left="67" w:leftChars="16" w:right="27" w:rightChars="13" w:hanging="33" w:hangingChars="15"/>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65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6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9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53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36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3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11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555" w:type="dxa"/>
            <w:vMerge w:val="continue"/>
            <w:vAlign w:val="center"/>
          </w:tcPr>
          <w:p>
            <w:pPr>
              <w:widowControl/>
              <w:jc w:val="left"/>
              <w:rPr>
                <w:rFonts w:ascii="Times New Roman" w:hAnsi="Times New Roman"/>
                <w:color w:val="000000"/>
                <w:kern w:val="0"/>
                <w:sz w:val="22"/>
              </w:rPr>
            </w:pPr>
          </w:p>
        </w:tc>
        <w:tc>
          <w:tcPr>
            <w:tcW w:w="830" w:type="dxa"/>
            <w:vMerge w:val="continue"/>
          </w:tcPr>
          <w:p>
            <w:pPr>
              <w:widowControl/>
              <w:ind w:left="67" w:leftChars="16" w:right="315" w:rightChars="150" w:hanging="33" w:hangingChars="15"/>
              <w:jc w:val="center"/>
              <w:rPr>
                <w:rFonts w:ascii="黑体" w:hAnsi="宋体" w:eastAsia="黑体" w:cs="宋体"/>
                <w:color w:val="000000"/>
                <w:kern w:val="0"/>
                <w:sz w:val="22"/>
              </w:rPr>
            </w:pP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5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62" w:type="dxa"/>
            <w:vMerge w:val="continue"/>
            <w:vAlign w:val="center"/>
          </w:tcPr>
          <w:p>
            <w:pPr>
              <w:widowControl/>
              <w:jc w:val="left"/>
              <w:rPr>
                <w:rFonts w:ascii="黑体" w:hAnsi="宋体" w:eastAsia="黑体" w:cs="宋体"/>
                <w:color w:val="000000"/>
                <w:kern w:val="0"/>
                <w:sz w:val="22"/>
              </w:rPr>
            </w:pPr>
          </w:p>
        </w:tc>
        <w:tc>
          <w:tcPr>
            <w:tcW w:w="2191" w:type="dxa"/>
            <w:vMerge w:val="continue"/>
            <w:vAlign w:val="center"/>
          </w:tcPr>
          <w:p>
            <w:pPr>
              <w:widowControl/>
              <w:jc w:val="left"/>
              <w:rPr>
                <w:rFonts w:ascii="黑体" w:hAnsi="宋体" w:eastAsia="黑体" w:cs="宋体"/>
                <w:color w:val="000000"/>
                <w:kern w:val="0"/>
                <w:sz w:val="22"/>
              </w:rPr>
            </w:pPr>
          </w:p>
        </w:tc>
        <w:tc>
          <w:tcPr>
            <w:tcW w:w="1535" w:type="dxa"/>
            <w:vMerge w:val="continue"/>
            <w:vAlign w:val="center"/>
          </w:tcPr>
          <w:p>
            <w:pPr>
              <w:widowControl/>
              <w:jc w:val="left"/>
              <w:rPr>
                <w:rFonts w:ascii="黑体" w:hAnsi="宋体" w:eastAsia="黑体" w:cs="宋体"/>
                <w:color w:val="000000"/>
                <w:kern w:val="0"/>
                <w:sz w:val="22"/>
              </w:rPr>
            </w:pPr>
          </w:p>
        </w:tc>
        <w:tc>
          <w:tcPr>
            <w:tcW w:w="1365" w:type="dxa"/>
            <w:vMerge w:val="continue"/>
            <w:vAlign w:val="center"/>
          </w:tcPr>
          <w:p>
            <w:pPr>
              <w:widowControl/>
              <w:jc w:val="left"/>
              <w:rPr>
                <w:rFonts w:ascii="黑体" w:hAnsi="宋体" w:eastAsia="黑体" w:cs="宋体"/>
                <w:color w:val="000000"/>
                <w:kern w:val="0"/>
                <w:sz w:val="22"/>
              </w:rPr>
            </w:pPr>
          </w:p>
        </w:tc>
        <w:tc>
          <w:tcPr>
            <w:tcW w:w="1930" w:type="dxa"/>
            <w:vMerge w:val="continue"/>
            <w:vAlign w:val="center"/>
          </w:tcPr>
          <w:p>
            <w:pPr>
              <w:widowControl/>
              <w:jc w:val="left"/>
              <w:rPr>
                <w:rFonts w:ascii="黑体" w:hAnsi="宋体" w:eastAsia="黑体" w:cs="宋体"/>
                <w:kern w:val="0"/>
                <w:sz w:val="22"/>
              </w:rPr>
            </w:pP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2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1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6" w:hRule="atLeast"/>
          <w:jc w:val="center"/>
        </w:trPr>
        <w:tc>
          <w:tcPr>
            <w:tcW w:w="555" w:type="dxa"/>
            <w:vMerge w:val="restart"/>
            <w:vAlign w:val="center"/>
          </w:tcPr>
          <w:p>
            <w:pPr>
              <w:jc w:val="center"/>
              <w:rPr>
                <w:rFonts w:ascii="仿宋_GB2312" w:hAnsi="宋体" w:eastAsia="仿宋_GB2312"/>
                <w:color w:val="000000"/>
                <w:sz w:val="18"/>
                <w:szCs w:val="18"/>
              </w:rPr>
            </w:pPr>
            <w:bookmarkStart w:id="14" w:name="_Hlk54855899"/>
            <w:r>
              <w:rPr>
                <w:rFonts w:ascii="仿宋_GB2312" w:hAnsi="宋体" w:eastAsia="仿宋_GB2312"/>
                <w:color w:val="000000"/>
                <w:sz w:val="18"/>
                <w:szCs w:val="18"/>
              </w:rPr>
              <w:t>1</w:t>
            </w:r>
          </w:p>
        </w:tc>
        <w:tc>
          <w:tcPr>
            <w:tcW w:w="830" w:type="dxa"/>
            <w:vMerge w:val="restart"/>
            <w:vAlign w:val="center"/>
          </w:tcPr>
          <w:p>
            <w:pPr>
              <w:ind w:left="61" w:leftChars="16" w:right="170" w:rightChars="81" w:hanging="27" w:hangingChars="15"/>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w:t>
            </w:r>
          </w:p>
          <w:p>
            <w:pPr>
              <w:ind w:left="61" w:leftChars="16" w:right="185" w:rightChars="88" w:hanging="27" w:hangingChars="15"/>
              <w:jc w:val="center"/>
              <w:rPr>
                <w:rFonts w:ascii="仿宋_GB2312" w:hAnsi="宋体" w:eastAsia="仿宋_GB2312"/>
                <w:color w:val="000000"/>
                <w:sz w:val="18"/>
                <w:szCs w:val="18"/>
              </w:rPr>
            </w:pPr>
          </w:p>
        </w:tc>
        <w:tc>
          <w:tcPr>
            <w:tcW w:w="693"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独生子女父母奖励扶助</w:t>
            </w:r>
          </w:p>
        </w:tc>
        <w:tc>
          <w:tcPr>
            <w:tcW w:w="2062"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受理地点及时间</w:t>
            </w:r>
          </w:p>
          <w:p>
            <w:pPr>
              <w:rPr>
                <w:rFonts w:ascii="仿宋_GB2312" w:hAnsi="宋体" w:eastAsia="仿宋_GB2312"/>
                <w:color w:val="000000"/>
                <w:sz w:val="18"/>
                <w:szCs w:val="18"/>
              </w:rPr>
            </w:pPr>
            <w:r>
              <w:rPr>
                <w:rFonts w:ascii="仿宋_GB2312" w:hAnsi="宋体" w:eastAsia="仿宋_GB2312"/>
                <w:color w:val="000000"/>
                <w:sz w:val="18"/>
                <w:szCs w:val="18"/>
              </w:rPr>
              <w:t>受理条件</w:t>
            </w:r>
          </w:p>
          <w:p>
            <w:pPr>
              <w:rPr>
                <w:rFonts w:ascii="仿宋_GB2312" w:hAnsi="宋体" w:eastAsia="仿宋_GB2312"/>
                <w:color w:val="000000"/>
                <w:sz w:val="18"/>
                <w:szCs w:val="18"/>
              </w:rPr>
            </w:pPr>
            <w:r>
              <w:rPr>
                <w:rFonts w:ascii="仿宋_GB2312" w:hAnsi="宋体" w:eastAsia="仿宋_GB2312"/>
                <w:color w:val="000000"/>
                <w:sz w:val="18"/>
                <w:szCs w:val="18"/>
              </w:rPr>
              <w:t>申请材料</w:t>
            </w:r>
          </w:p>
          <w:p>
            <w:pPr>
              <w:rPr>
                <w:rFonts w:ascii="仿宋_GB2312" w:hAnsi="宋体" w:eastAsia="仿宋_GB2312"/>
                <w:color w:val="000000"/>
                <w:sz w:val="18"/>
                <w:szCs w:val="18"/>
              </w:rPr>
            </w:pPr>
            <w:r>
              <w:rPr>
                <w:rFonts w:ascii="仿宋_GB2312" w:hAnsi="宋体" w:eastAsia="仿宋_GB2312"/>
                <w:color w:val="000000"/>
                <w:sz w:val="18"/>
                <w:szCs w:val="18"/>
              </w:rPr>
              <w:t>办理流程</w:t>
            </w:r>
          </w:p>
          <w:p>
            <w:pPr>
              <w:rPr>
                <w:rFonts w:ascii="仿宋_GB2312" w:hAnsi="宋体" w:eastAsia="仿宋_GB2312"/>
                <w:color w:val="000000"/>
                <w:sz w:val="18"/>
                <w:szCs w:val="18"/>
              </w:rPr>
            </w:pPr>
            <w:r>
              <w:rPr>
                <w:rFonts w:ascii="仿宋_GB2312" w:hAnsi="宋体" w:eastAsia="仿宋_GB2312"/>
                <w:color w:val="000000"/>
                <w:sz w:val="18"/>
                <w:szCs w:val="18"/>
              </w:rPr>
              <w:t>咨询方式</w:t>
            </w:r>
          </w:p>
          <w:p>
            <w:pPr>
              <w:rPr>
                <w:rFonts w:ascii="仿宋_GB2312" w:hAnsi="宋体" w:eastAsia="仿宋_GB2312"/>
                <w:color w:val="000000"/>
                <w:sz w:val="18"/>
                <w:szCs w:val="18"/>
              </w:rPr>
            </w:pPr>
            <w:r>
              <w:rPr>
                <w:rFonts w:ascii="仿宋_GB2312" w:hAnsi="宋体" w:eastAsia="仿宋_GB2312"/>
                <w:color w:val="000000"/>
                <w:sz w:val="18"/>
                <w:szCs w:val="18"/>
              </w:rPr>
              <w:t>监督投诉方式</w:t>
            </w:r>
          </w:p>
          <w:p>
            <w:pPr>
              <w:rPr>
                <w:rFonts w:ascii="仿宋_GB2312" w:hAnsi="宋体" w:eastAsia="仿宋_GB2312"/>
                <w:color w:val="000000"/>
                <w:sz w:val="18"/>
                <w:szCs w:val="18"/>
              </w:rPr>
            </w:pPr>
          </w:p>
        </w:tc>
        <w:tc>
          <w:tcPr>
            <w:tcW w:w="219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一年一次</w:t>
            </w:r>
          </w:p>
        </w:tc>
        <w:tc>
          <w:tcPr>
            <w:tcW w:w="1365"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w:t>
            </w:r>
            <w:r>
              <w:rPr>
                <w:rFonts w:hint="eastAsia" w:ascii="仿宋_GB2312" w:hAnsi="宋体" w:eastAsia="仿宋_GB2312"/>
                <w:sz w:val="18"/>
                <w:szCs w:val="18"/>
              </w:rPr>
              <w:t>公共服务办公室</w:t>
            </w:r>
          </w:p>
        </w:tc>
        <w:tc>
          <w:tcPr>
            <w:tcW w:w="1930"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■党群服务中心                                                                                                                                                                                                                                                                                                                                                                                                              </w:t>
            </w:r>
          </w:p>
          <w:p>
            <w:pPr>
              <w:rPr>
                <w:rFonts w:ascii="仿宋_GB2312" w:hAnsi="宋体" w:eastAsia="仿宋_GB2312"/>
                <w:color w:val="000000" w:themeColor="text1"/>
                <w:sz w:val="18"/>
                <w:szCs w:val="18"/>
                <w14:textFill>
                  <w14:solidFill>
                    <w14:schemeClr w14:val="tx1"/>
                  </w14:solidFill>
                </w14:textFill>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6" w:hRule="atLeast"/>
          <w:jc w:val="center"/>
        </w:trPr>
        <w:tc>
          <w:tcPr>
            <w:tcW w:w="55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生育登记</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jc w:val="center"/>
              <w:rPr>
                <w:rFonts w:ascii="仿宋_GB2312" w:hAnsi="宋体" w:eastAsia="仿宋_GB2312"/>
                <w:color w:val="000000"/>
                <w:sz w:val="18"/>
                <w:szCs w:val="18"/>
              </w:rPr>
            </w:pPr>
          </w:p>
        </w:tc>
        <w:tc>
          <w:tcPr>
            <w:tcW w:w="55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jc w:val="center"/>
              <w:rPr>
                <w:rFonts w:ascii="仿宋_GB2312" w:hAnsi="宋体" w:eastAsia="仿宋_GB2312"/>
                <w:color w:val="000000"/>
                <w:sz w:val="18"/>
                <w:szCs w:val="18"/>
              </w:rPr>
            </w:pPr>
          </w:p>
        </w:tc>
        <w:tc>
          <w:tcPr>
            <w:tcW w:w="621" w:type="dxa"/>
            <w:vAlign w:val="center"/>
          </w:tcPr>
          <w:p>
            <w:pPr>
              <w:jc w:val="center"/>
              <w:rPr>
                <w:rFonts w:ascii="仿宋_GB2312" w:hAnsi="宋体" w:eastAsia="仿宋_GB2312"/>
                <w:color w:val="000000"/>
                <w:sz w:val="18"/>
                <w:szCs w:val="18"/>
              </w:rPr>
            </w:pPr>
          </w:p>
        </w:tc>
        <w:tc>
          <w:tcPr>
            <w:tcW w:w="719" w:type="dxa"/>
            <w:vAlign w:val="center"/>
          </w:tcPr>
          <w:p>
            <w:pPr>
              <w:jc w:val="center"/>
              <w:rPr>
                <w:rFonts w:ascii="仿宋_GB2312" w:hAnsi="宋体" w:eastAsia="仿宋_GB2312"/>
                <w:sz w:val="18"/>
                <w:szCs w:val="18"/>
              </w:rPr>
            </w:pPr>
          </w:p>
          <w:p>
            <w:pPr>
              <w:ind w:right="900"/>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55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计划生育关系迁入、迁出</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信息形成或变更之日起20个工作日内</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rPr>
                <w:rFonts w:ascii="仿宋_GB2312" w:hAnsi="宋体" w:eastAsia="仿宋_GB2312"/>
                <w:color w:val="000000"/>
                <w:sz w:val="18"/>
                <w:szCs w:val="18"/>
              </w:rPr>
            </w:pPr>
          </w:p>
        </w:tc>
        <w:tc>
          <w:tcPr>
            <w:tcW w:w="621" w:type="dxa"/>
            <w:vAlign w:val="center"/>
          </w:tcPr>
          <w:p>
            <w:pPr>
              <w:rPr>
                <w:rFonts w:ascii="仿宋_GB2312" w:hAnsi="宋体" w:eastAsia="仿宋_GB2312"/>
                <w:color w:val="000000"/>
                <w:sz w:val="18"/>
                <w:szCs w:val="18"/>
              </w:rPr>
            </w:pPr>
          </w:p>
        </w:tc>
        <w:tc>
          <w:tcPr>
            <w:tcW w:w="719" w:type="dxa"/>
            <w:vAlign w:val="center"/>
          </w:tcPr>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55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830" w:type="dxa"/>
            <w:vMerge w:val="continue"/>
            <w:vAlign w:val="center"/>
          </w:tcPr>
          <w:p>
            <w:pPr>
              <w:ind w:left="61" w:leftChars="16" w:right="185" w:rightChars="88" w:hanging="27" w:hangingChars="15"/>
              <w:jc w:val="center"/>
              <w:rPr>
                <w:rFonts w:ascii="仿宋_GB2312" w:hAnsi="宋体" w:eastAsia="仿宋_GB2312"/>
                <w:color w:val="000000"/>
                <w:sz w:val="18"/>
                <w:szCs w:val="18"/>
              </w:rPr>
            </w:pPr>
          </w:p>
        </w:tc>
        <w:tc>
          <w:tcPr>
            <w:tcW w:w="6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95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计划生育家庭特别扶助</w:t>
            </w:r>
          </w:p>
        </w:tc>
        <w:tc>
          <w:tcPr>
            <w:tcW w:w="2062" w:type="dxa"/>
            <w:vMerge w:val="continue"/>
            <w:vAlign w:val="center"/>
          </w:tcPr>
          <w:p>
            <w:pPr>
              <w:rPr>
                <w:rFonts w:ascii="仿宋_GB2312" w:hAnsi="宋体" w:eastAsia="仿宋_GB2312"/>
                <w:color w:val="000000"/>
                <w:sz w:val="18"/>
                <w:szCs w:val="18"/>
              </w:rPr>
            </w:pPr>
          </w:p>
        </w:tc>
        <w:tc>
          <w:tcPr>
            <w:tcW w:w="219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《中华人民共和国人口与计划生育法》</w:t>
            </w:r>
          </w:p>
        </w:tc>
        <w:tc>
          <w:tcPr>
            <w:tcW w:w="153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一年一次</w:t>
            </w:r>
          </w:p>
        </w:tc>
        <w:tc>
          <w:tcPr>
            <w:tcW w:w="1365" w:type="dxa"/>
            <w:vMerge w:val="continue"/>
            <w:vAlign w:val="center"/>
          </w:tcPr>
          <w:p>
            <w:pPr>
              <w:rPr>
                <w:rFonts w:ascii="仿宋_GB2312" w:hAnsi="宋体" w:eastAsia="仿宋_GB2312"/>
                <w:color w:val="FF0000"/>
                <w:sz w:val="18"/>
                <w:szCs w:val="18"/>
              </w:rPr>
            </w:pPr>
          </w:p>
        </w:tc>
        <w:tc>
          <w:tcPr>
            <w:tcW w:w="1930" w:type="dxa"/>
            <w:vMerge w:val="continue"/>
            <w:vAlign w:val="center"/>
          </w:tcPr>
          <w:p>
            <w:pPr>
              <w:rPr>
                <w:rFonts w:ascii="仿宋_GB2312" w:hAnsi="宋体" w:eastAsia="仿宋_GB2312"/>
                <w:color w:val="FF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56"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93" w:type="dxa"/>
            <w:vAlign w:val="center"/>
          </w:tcPr>
          <w:p>
            <w:pPr>
              <w:rPr>
                <w:rFonts w:ascii="仿宋_GB2312" w:hAnsi="宋体" w:eastAsia="仿宋_GB2312"/>
                <w:color w:val="000000"/>
                <w:sz w:val="18"/>
                <w:szCs w:val="18"/>
              </w:rPr>
            </w:pPr>
          </w:p>
        </w:tc>
        <w:tc>
          <w:tcPr>
            <w:tcW w:w="621" w:type="dxa"/>
            <w:vAlign w:val="center"/>
          </w:tcPr>
          <w:p>
            <w:pPr>
              <w:rPr>
                <w:rFonts w:ascii="仿宋_GB2312" w:hAnsi="宋体" w:eastAsia="仿宋_GB2312"/>
                <w:color w:val="000000"/>
                <w:sz w:val="18"/>
                <w:szCs w:val="18"/>
              </w:rPr>
            </w:pPr>
          </w:p>
        </w:tc>
        <w:tc>
          <w:tcPr>
            <w:tcW w:w="719" w:type="dxa"/>
            <w:vAlign w:val="center"/>
          </w:tcPr>
          <w:p>
            <w:pPr>
              <w:jc w:val="center"/>
              <w:rPr>
                <w:rFonts w:ascii="仿宋_GB2312" w:hAnsi="宋体" w:eastAsia="仿宋_GB2312"/>
                <w:color w:val="000000"/>
                <w:sz w:val="18"/>
                <w:szCs w:val="18"/>
              </w:rPr>
            </w:pPr>
          </w:p>
          <w:p>
            <w:pPr>
              <w:jc w:val="center"/>
            </w:pPr>
            <w:r>
              <w:rPr>
                <w:rFonts w:hint="eastAsia" w:ascii="仿宋_GB2312" w:hAnsi="宋体" w:eastAsia="仿宋_GB2312"/>
                <w:sz w:val="18"/>
                <w:szCs w:val="18"/>
              </w:rPr>
              <w:t>√</w:t>
            </w:r>
          </w:p>
        </w:tc>
      </w:tr>
    </w:tbl>
    <w:p>
      <w:pPr>
        <w:pStyle w:val="2"/>
        <w:jc w:val="center"/>
        <w:rPr>
          <w:rFonts w:ascii="方正小标宋_GBK" w:hAnsi="方正小标宋_GBK" w:eastAsia="方正小标宋_GBK"/>
          <w:b w:val="0"/>
          <w:bCs w:val="0"/>
          <w:sz w:val="30"/>
        </w:rPr>
      </w:pPr>
      <w:bookmarkStart w:id="15" w:name="_Toc25006"/>
      <w:r>
        <w:rPr>
          <w:rFonts w:hint="eastAsia" w:ascii="方正小标宋_GBK" w:hAnsi="方正小标宋_GBK" w:eastAsia="方正小标宋_GBK"/>
          <w:b w:val="0"/>
          <w:bCs w:val="0"/>
          <w:sz w:val="30"/>
        </w:rPr>
        <w:t>（十）救灾领域基层政务公开标准目录</w:t>
      </w:r>
      <w:bookmarkEnd w:id="15"/>
    </w:p>
    <w:tbl>
      <w:tblPr>
        <w:tblStyle w:val="10"/>
        <w:tblW w:w="16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09"/>
        <w:gridCol w:w="709"/>
        <w:gridCol w:w="851"/>
        <w:gridCol w:w="2316"/>
        <w:gridCol w:w="2537"/>
        <w:gridCol w:w="1431"/>
        <w:gridCol w:w="1637"/>
        <w:gridCol w:w="1786"/>
        <w:gridCol w:w="545"/>
        <w:gridCol w:w="710"/>
        <w:gridCol w:w="545"/>
        <w:gridCol w:w="723"/>
        <w:gridCol w:w="639"/>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5"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5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1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8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5"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16" w:type="dxa"/>
            <w:vMerge w:val="continue"/>
            <w:vAlign w:val="center"/>
          </w:tcPr>
          <w:p>
            <w:pPr>
              <w:widowControl/>
              <w:jc w:val="left"/>
              <w:rPr>
                <w:rFonts w:ascii="黑体" w:hAnsi="宋体" w:eastAsia="黑体" w:cs="宋体"/>
                <w:color w:val="000000"/>
                <w:kern w:val="0"/>
                <w:sz w:val="22"/>
              </w:rPr>
            </w:pPr>
          </w:p>
        </w:tc>
        <w:tc>
          <w:tcPr>
            <w:tcW w:w="2537" w:type="dxa"/>
            <w:vMerge w:val="continue"/>
            <w:vAlign w:val="center"/>
          </w:tcPr>
          <w:p>
            <w:pPr>
              <w:widowControl/>
              <w:jc w:val="left"/>
              <w:rPr>
                <w:rFonts w:ascii="黑体" w:hAnsi="宋体" w:eastAsia="黑体" w:cs="宋体"/>
                <w:color w:val="000000"/>
                <w:kern w:val="0"/>
                <w:sz w:val="22"/>
              </w:rPr>
            </w:pPr>
          </w:p>
        </w:tc>
        <w:tc>
          <w:tcPr>
            <w:tcW w:w="1431"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3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4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42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救灾</w:t>
            </w:r>
          </w:p>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备灾管理</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灾害信息员队伍</w:t>
            </w:r>
          </w:p>
        </w:tc>
        <w:tc>
          <w:tcPr>
            <w:tcW w:w="231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灾害信息员工作职责和办公电话</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《中华人民共和国政府信息公开条例》(国务院令第711号）、《社会救助暂行办法》（2014）、《国家综合防灾减灾</w:t>
            </w:r>
          </w:p>
          <w:p>
            <w:pPr>
              <w:rPr>
                <w:rFonts w:ascii="仿宋_GB2312" w:hAnsi="宋体" w:eastAsia="仿宋_GB2312"/>
                <w:color w:val="000000"/>
                <w:sz w:val="18"/>
                <w:szCs w:val="18"/>
              </w:rPr>
            </w:pPr>
            <w:r>
              <w:rPr>
                <w:rFonts w:hint="eastAsia" w:ascii="仿宋_GB2312" w:hAnsi="宋体" w:eastAsia="仿宋_GB2312"/>
                <w:color w:val="000000"/>
                <w:sz w:val="18"/>
                <w:szCs w:val="18"/>
              </w:rPr>
              <w:t>规划（2016-2020年）》</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w:t>
            </w:r>
            <w:r>
              <w:rPr>
                <w:rFonts w:hint="eastAsia" w:ascii="仿宋_GB2312" w:hAnsi="宋体" w:eastAsia="仿宋_GB2312"/>
                <w:color w:val="000000"/>
                <w:sz w:val="18"/>
                <w:szCs w:val="18"/>
              </w:rPr>
              <w:t>个工作日内</w:t>
            </w:r>
          </w:p>
        </w:tc>
        <w:tc>
          <w:tcPr>
            <w:tcW w:w="1637"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江洪镇应急管理</w:t>
            </w:r>
            <w:r>
              <w:rPr>
                <w:rFonts w:hint="eastAsia" w:ascii="仿宋_GB2312" w:hAnsi="宋体" w:eastAsia="仿宋_GB2312"/>
                <w:sz w:val="18"/>
                <w:szCs w:val="18"/>
              </w:rPr>
              <w:t>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rPr>
                <w:rFonts w:ascii="仿宋_GB2312" w:hAnsi="宋体" w:eastAsia="仿宋_GB2312"/>
                <w:color w:val="000000"/>
                <w:sz w:val="18"/>
                <w:szCs w:val="18"/>
              </w:rPr>
            </w:pPr>
          </w:p>
        </w:tc>
        <w:tc>
          <w:tcPr>
            <w:tcW w:w="639" w:type="dxa"/>
            <w:vAlign w:val="center"/>
          </w:tcPr>
          <w:p>
            <w:pPr>
              <w:rPr>
                <w:rFonts w:ascii="仿宋_GB2312" w:hAnsi="宋体" w:eastAsia="仿宋_GB2312"/>
                <w:color w:val="000000"/>
                <w:sz w:val="18"/>
                <w:szCs w:val="18"/>
              </w:rPr>
            </w:pPr>
          </w:p>
        </w:tc>
        <w:tc>
          <w:tcPr>
            <w:tcW w:w="647" w:type="dxa"/>
          </w:tcPr>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灾后救助</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救助审定信息</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自然灾害救助的救助对象、申报材料、办理程序及时限等</w:t>
            </w:r>
          </w:p>
        </w:tc>
        <w:tc>
          <w:tcPr>
            <w:tcW w:w="2537"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《中华人民共和国政府信息公开条例》(国务院令第711号）《中华人民共和国自然灾害救助条例》（国务院令第5</w:t>
            </w:r>
            <w:r>
              <w:rPr>
                <w:rFonts w:ascii="仿宋_GB2312" w:hAnsi="宋体" w:eastAsia="仿宋_GB2312"/>
                <w:color w:val="000000"/>
                <w:sz w:val="18"/>
                <w:szCs w:val="18"/>
              </w:rPr>
              <w:t>77</w:t>
            </w:r>
            <w:r>
              <w:rPr>
                <w:rFonts w:hint="eastAsia" w:ascii="仿宋_GB2312" w:hAnsi="宋体" w:eastAsia="仿宋_GB2312"/>
                <w:color w:val="000000"/>
                <w:sz w:val="18"/>
                <w:szCs w:val="18"/>
              </w:rPr>
              <w:t>号）</w:t>
            </w:r>
          </w:p>
        </w:tc>
        <w:tc>
          <w:tcPr>
            <w:tcW w:w="143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0个工作日内</w:t>
            </w:r>
          </w:p>
        </w:tc>
        <w:tc>
          <w:tcPr>
            <w:tcW w:w="1637" w:type="dxa"/>
            <w:vMerge w:val="restart"/>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江洪镇应急管理</w:t>
            </w:r>
            <w:r>
              <w:rPr>
                <w:rFonts w:hint="eastAsia" w:ascii="仿宋_GB2312" w:hAnsi="宋体" w:eastAsia="仿宋_GB2312"/>
                <w:sz w:val="18"/>
                <w:szCs w:val="18"/>
              </w:rPr>
              <w:t>办公室</w:t>
            </w:r>
          </w:p>
        </w:tc>
        <w:tc>
          <w:tcPr>
            <w:tcW w:w="1786" w:type="dxa"/>
            <w:vMerge w:val="restart"/>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Merge w:val="restart"/>
            <w:vAlign w:val="center"/>
          </w:tcPr>
          <w:p>
            <w:pPr>
              <w:rPr>
                <w:rFonts w:ascii="仿宋_GB2312" w:hAnsi="宋体" w:eastAsia="仿宋_GB2312"/>
                <w:color w:val="000000"/>
                <w:sz w:val="18"/>
                <w:szCs w:val="18"/>
              </w:rPr>
            </w:pPr>
          </w:p>
        </w:tc>
        <w:tc>
          <w:tcPr>
            <w:tcW w:w="54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Merge w:val="restart"/>
            <w:vAlign w:val="center"/>
          </w:tcPr>
          <w:p>
            <w:pPr>
              <w:rPr>
                <w:rFonts w:ascii="仿宋_GB2312" w:hAnsi="宋体" w:eastAsia="仿宋_GB2312"/>
                <w:color w:val="000000"/>
                <w:sz w:val="18"/>
                <w:szCs w:val="18"/>
              </w:rPr>
            </w:pPr>
          </w:p>
        </w:tc>
        <w:tc>
          <w:tcPr>
            <w:tcW w:w="639" w:type="dxa"/>
            <w:vMerge w:val="restart"/>
            <w:vAlign w:val="center"/>
          </w:tcPr>
          <w:p>
            <w:pPr>
              <w:rPr>
                <w:rFonts w:ascii="仿宋_GB2312" w:hAnsi="宋体" w:eastAsia="仿宋_GB2312"/>
                <w:color w:val="000000"/>
                <w:sz w:val="18"/>
                <w:szCs w:val="18"/>
              </w:rPr>
            </w:pPr>
          </w:p>
        </w:tc>
        <w:tc>
          <w:tcPr>
            <w:tcW w:w="647" w:type="dxa"/>
            <w:vMerge w:val="restart"/>
          </w:tcPr>
          <w:p>
            <w:pPr>
              <w:rPr>
                <w:rFonts w:ascii="仿宋_GB2312" w:hAnsi="宋体" w:eastAsia="仿宋_GB2312"/>
                <w:sz w:val="18"/>
                <w:szCs w:val="18"/>
              </w:rPr>
            </w:pPr>
          </w:p>
          <w:p>
            <w:pPr>
              <w:rPr>
                <w:rFonts w:ascii="仿宋_GB2312" w:hAnsi="宋体" w:eastAsia="仿宋_GB2312"/>
                <w:sz w:val="18"/>
                <w:szCs w:val="18"/>
              </w:rPr>
            </w:pPr>
          </w:p>
          <w:p>
            <w:pPr>
              <w:rPr>
                <w:rFonts w:ascii="仿宋_GB2312" w:hAnsi="宋体" w:eastAsia="仿宋_GB2312"/>
                <w:sz w:val="18"/>
                <w:szCs w:val="18"/>
              </w:rPr>
            </w:pPr>
          </w:p>
          <w:p>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09"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因灾临时生活救助</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救助标准、救助名单，包括灾民姓名、受灾情况、救助金额</w:t>
            </w:r>
          </w:p>
        </w:tc>
        <w:tc>
          <w:tcPr>
            <w:tcW w:w="2537" w:type="dxa"/>
            <w:vMerge w:val="continue"/>
            <w:vAlign w:val="center"/>
          </w:tcPr>
          <w:p>
            <w:pPr>
              <w:rPr>
                <w:rFonts w:ascii="仿宋_GB2312" w:hAnsi="宋体" w:eastAsia="仿宋_GB2312"/>
                <w:color w:val="000000"/>
                <w:sz w:val="18"/>
                <w:szCs w:val="18"/>
              </w:rPr>
            </w:pPr>
          </w:p>
        </w:tc>
        <w:tc>
          <w:tcPr>
            <w:tcW w:w="1431" w:type="dxa"/>
            <w:vMerge w:val="continue"/>
            <w:vAlign w:val="center"/>
          </w:tcPr>
          <w:p>
            <w:pPr>
              <w:rPr>
                <w:rFonts w:ascii="仿宋_GB2312" w:hAnsi="宋体" w:eastAsia="仿宋_GB2312"/>
                <w:color w:val="000000"/>
                <w:sz w:val="18"/>
                <w:szCs w:val="18"/>
              </w:rPr>
            </w:pPr>
          </w:p>
        </w:tc>
        <w:tc>
          <w:tcPr>
            <w:tcW w:w="1637" w:type="dxa"/>
            <w:vMerge w:val="continue"/>
            <w:vAlign w:val="center"/>
          </w:tcPr>
          <w:p>
            <w:pPr>
              <w:jc w:val="center"/>
              <w:rPr>
                <w:rFonts w:ascii="仿宋_GB2312" w:hAnsi="宋体" w:eastAsia="仿宋_GB2312"/>
                <w:sz w:val="18"/>
                <w:szCs w:val="18"/>
              </w:rPr>
            </w:pPr>
          </w:p>
        </w:tc>
        <w:tc>
          <w:tcPr>
            <w:tcW w:w="1786" w:type="dxa"/>
            <w:vMerge w:val="continue"/>
            <w:vAlign w:val="center"/>
          </w:tcPr>
          <w:p>
            <w:pPr>
              <w:rPr>
                <w:rFonts w:ascii="仿宋_GB2312" w:hAnsi="宋体" w:eastAsia="仿宋_GB2312"/>
                <w:color w:val="000000" w:themeColor="text1"/>
                <w:sz w:val="18"/>
                <w:szCs w:val="18"/>
                <w14:textFill>
                  <w14:solidFill>
                    <w14:schemeClr w14:val="tx1"/>
                  </w14:solidFill>
                </w14:textFill>
              </w:rPr>
            </w:pPr>
          </w:p>
        </w:tc>
        <w:tc>
          <w:tcPr>
            <w:tcW w:w="545" w:type="dxa"/>
            <w:vMerge w:val="continue"/>
            <w:vAlign w:val="center"/>
          </w:tcPr>
          <w:p>
            <w:pPr>
              <w:rPr>
                <w:rFonts w:ascii="仿宋_GB2312" w:hAnsi="宋体" w:eastAsia="仿宋_GB2312"/>
                <w:color w:val="000000"/>
                <w:sz w:val="18"/>
                <w:szCs w:val="18"/>
              </w:rPr>
            </w:pPr>
          </w:p>
        </w:tc>
        <w:tc>
          <w:tcPr>
            <w:tcW w:w="710" w:type="dxa"/>
            <w:vMerge w:val="continue"/>
            <w:vAlign w:val="center"/>
          </w:tcPr>
          <w:p>
            <w:pPr>
              <w:rPr>
                <w:rFonts w:ascii="仿宋_GB2312" w:hAnsi="宋体" w:eastAsia="仿宋_GB2312"/>
                <w:color w:val="000000"/>
                <w:sz w:val="18"/>
                <w:szCs w:val="18"/>
              </w:rPr>
            </w:pPr>
          </w:p>
        </w:tc>
        <w:tc>
          <w:tcPr>
            <w:tcW w:w="545" w:type="dxa"/>
            <w:vMerge w:val="continue"/>
            <w:vAlign w:val="center"/>
          </w:tcPr>
          <w:p>
            <w:pPr>
              <w:rPr>
                <w:rFonts w:ascii="仿宋_GB2312" w:hAnsi="宋体" w:eastAsia="仿宋_GB2312"/>
                <w:color w:val="000000"/>
                <w:sz w:val="18"/>
                <w:szCs w:val="18"/>
              </w:rPr>
            </w:pPr>
          </w:p>
        </w:tc>
        <w:tc>
          <w:tcPr>
            <w:tcW w:w="723" w:type="dxa"/>
            <w:vMerge w:val="continue"/>
            <w:vAlign w:val="center"/>
          </w:tcPr>
          <w:p>
            <w:pPr>
              <w:rPr>
                <w:rFonts w:ascii="仿宋_GB2312" w:hAnsi="宋体" w:eastAsia="仿宋_GB2312"/>
                <w:color w:val="000000"/>
                <w:sz w:val="18"/>
                <w:szCs w:val="18"/>
              </w:rPr>
            </w:pPr>
          </w:p>
        </w:tc>
        <w:tc>
          <w:tcPr>
            <w:tcW w:w="639" w:type="dxa"/>
            <w:vMerge w:val="continue"/>
            <w:vAlign w:val="center"/>
          </w:tcPr>
          <w:p>
            <w:pPr>
              <w:rPr>
                <w:rFonts w:ascii="仿宋_GB2312" w:hAnsi="宋体" w:eastAsia="仿宋_GB2312"/>
                <w:color w:val="000000"/>
                <w:sz w:val="18"/>
                <w:szCs w:val="18"/>
              </w:rPr>
            </w:pPr>
          </w:p>
        </w:tc>
        <w:tc>
          <w:tcPr>
            <w:tcW w:w="647" w:type="dxa"/>
            <w:vMerge w:val="continue"/>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8" w:hRule="atLeast"/>
          <w:jc w:val="center"/>
        </w:trPr>
        <w:tc>
          <w:tcPr>
            <w:tcW w:w="42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09"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款物管理</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年度款物使用情况</w:t>
            </w:r>
          </w:p>
        </w:tc>
        <w:tc>
          <w:tcPr>
            <w:tcW w:w="231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年度救灾物资使用情况</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《中华人民共和国政府信息公开条例》(国务院令第711号）</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信息形成或变更之日起2</w:t>
            </w:r>
            <w:r>
              <w:rPr>
                <w:rFonts w:ascii="仿宋_GB2312" w:hAnsi="宋体" w:eastAsia="仿宋_GB2312"/>
                <w:color w:val="000000"/>
                <w:sz w:val="18"/>
                <w:szCs w:val="18"/>
              </w:rPr>
              <w:t>0个工作日内</w:t>
            </w:r>
          </w:p>
        </w:tc>
        <w:tc>
          <w:tcPr>
            <w:tcW w:w="1637"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江洪镇应急管理</w:t>
            </w:r>
            <w:r>
              <w:rPr>
                <w:rFonts w:hint="eastAsia" w:ascii="仿宋_GB2312" w:hAnsi="宋体" w:eastAsia="仿宋_GB2312"/>
                <w:sz w:val="18"/>
                <w:szCs w:val="18"/>
              </w:rPr>
              <w:t>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3" w:type="dxa"/>
            <w:vAlign w:val="center"/>
          </w:tcPr>
          <w:p>
            <w:pPr>
              <w:rPr>
                <w:rFonts w:ascii="仿宋_GB2312" w:hAnsi="宋体" w:eastAsia="仿宋_GB2312"/>
                <w:color w:val="000000"/>
                <w:sz w:val="18"/>
                <w:szCs w:val="18"/>
              </w:rPr>
            </w:pPr>
          </w:p>
        </w:tc>
        <w:tc>
          <w:tcPr>
            <w:tcW w:w="639" w:type="dxa"/>
            <w:vAlign w:val="center"/>
          </w:tcPr>
          <w:p>
            <w:pPr>
              <w:rPr>
                <w:rFonts w:ascii="仿宋_GB2312" w:hAnsi="宋体" w:eastAsia="仿宋_GB2312"/>
                <w:color w:val="000000"/>
                <w:sz w:val="18"/>
                <w:szCs w:val="18"/>
              </w:rPr>
            </w:pPr>
          </w:p>
        </w:tc>
        <w:tc>
          <w:tcPr>
            <w:tcW w:w="647" w:type="dxa"/>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w:t>
            </w: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p>
        </w:tc>
      </w:tr>
    </w:tbl>
    <w:p>
      <w:pPr>
        <w:adjustRightInd w:val="0"/>
        <w:snapToGrid w:val="0"/>
        <w:spacing w:line="600" w:lineRule="exact"/>
        <w:rPr>
          <w:rFonts w:ascii="方正小标宋简体" w:eastAsia="方正小标宋简体"/>
          <w:sz w:val="44"/>
          <w:szCs w:val="44"/>
        </w:rPr>
      </w:pPr>
    </w:p>
    <w:p>
      <w:pPr>
        <w:pStyle w:val="2"/>
        <w:jc w:val="center"/>
        <w:rPr>
          <w:rFonts w:ascii="方正小标宋_GBK" w:hAnsi="方正小标宋_GBK" w:eastAsia="方正小标宋_GBK"/>
          <w:b w:val="0"/>
          <w:bCs w:val="0"/>
          <w:sz w:val="30"/>
        </w:rPr>
      </w:pPr>
      <w:bookmarkStart w:id="16" w:name="_Toc20557"/>
      <w:r>
        <w:rPr>
          <w:rFonts w:hint="eastAsia" w:ascii="方正小标宋_GBK" w:hAnsi="方正小标宋_GBK" w:eastAsia="方正小标宋_GBK"/>
          <w:b w:val="0"/>
          <w:bCs w:val="0"/>
          <w:sz w:val="30"/>
        </w:rPr>
        <w:t>（十一）食品药品监管领域基层政务公开标准目录</w:t>
      </w:r>
      <w:bookmarkEnd w:id="16"/>
    </w:p>
    <w:tbl>
      <w:tblPr>
        <w:tblStyle w:val="10"/>
        <w:tblW w:w="16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709"/>
        <w:gridCol w:w="709"/>
        <w:gridCol w:w="851"/>
        <w:gridCol w:w="2421"/>
        <w:gridCol w:w="2537"/>
        <w:gridCol w:w="1431"/>
        <w:gridCol w:w="1637"/>
        <w:gridCol w:w="1786"/>
        <w:gridCol w:w="545"/>
        <w:gridCol w:w="710"/>
        <w:gridCol w:w="556"/>
        <w:gridCol w:w="712"/>
        <w:gridCol w:w="564"/>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2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5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2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3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37"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5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3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0" w:type="dxa"/>
            <w:vMerge w:val="continue"/>
            <w:vAlign w:val="center"/>
          </w:tcPr>
          <w:p>
            <w:pPr>
              <w:widowControl/>
              <w:jc w:val="left"/>
              <w:rPr>
                <w:rFonts w:ascii="Times New Roman" w:hAnsi="Times New Roman"/>
                <w:color w:val="000000"/>
                <w:kern w:val="0"/>
                <w:sz w:val="22"/>
              </w:rPr>
            </w:pPr>
          </w:p>
        </w:tc>
        <w:tc>
          <w:tcPr>
            <w:tcW w:w="709" w:type="dxa"/>
            <w:vMerge w:val="continue"/>
          </w:tcPr>
          <w:p>
            <w:pPr>
              <w:widowControl/>
              <w:jc w:val="center"/>
              <w:rPr>
                <w:rFonts w:ascii="黑体" w:hAnsi="宋体" w:eastAsia="黑体" w:cs="宋体"/>
                <w:color w:val="000000"/>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21" w:type="dxa"/>
            <w:vMerge w:val="continue"/>
            <w:vAlign w:val="center"/>
          </w:tcPr>
          <w:p>
            <w:pPr>
              <w:widowControl/>
              <w:jc w:val="left"/>
              <w:rPr>
                <w:rFonts w:ascii="黑体" w:hAnsi="宋体" w:eastAsia="黑体" w:cs="宋体"/>
                <w:color w:val="000000"/>
                <w:kern w:val="0"/>
                <w:sz w:val="22"/>
              </w:rPr>
            </w:pPr>
          </w:p>
        </w:tc>
        <w:tc>
          <w:tcPr>
            <w:tcW w:w="2537" w:type="dxa"/>
            <w:vMerge w:val="continue"/>
            <w:vAlign w:val="center"/>
          </w:tcPr>
          <w:p>
            <w:pPr>
              <w:widowControl/>
              <w:jc w:val="left"/>
              <w:rPr>
                <w:rFonts w:ascii="黑体" w:hAnsi="宋体" w:eastAsia="黑体" w:cs="宋体"/>
                <w:color w:val="000000"/>
                <w:kern w:val="0"/>
                <w:sz w:val="22"/>
              </w:rPr>
            </w:pPr>
          </w:p>
        </w:tc>
        <w:tc>
          <w:tcPr>
            <w:tcW w:w="1431" w:type="dxa"/>
            <w:vMerge w:val="continue"/>
            <w:vAlign w:val="center"/>
          </w:tcPr>
          <w:p>
            <w:pPr>
              <w:widowControl/>
              <w:jc w:val="left"/>
              <w:rPr>
                <w:rFonts w:ascii="黑体" w:hAnsi="宋体" w:eastAsia="黑体" w:cs="宋体"/>
                <w:color w:val="000000"/>
                <w:kern w:val="0"/>
                <w:sz w:val="22"/>
              </w:rPr>
            </w:pPr>
          </w:p>
        </w:tc>
        <w:tc>
          <w:tcPr>
            <w:tcW w:w="1637"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4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1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4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09"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食品药品监管</w:t>
            </w:r>
          </w:p>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851"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食品安全消费提示、警示</w:t>
            </w:r>
          </w:p>
        </w:tc>
        <w:tc>
          <w:tcPr>
            <w:tcW w:w="24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食品安全消费提示、警示信息</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《中华人民共和国政府信息公开条例》（中华人民共和国国务院令第711号）、《关于全面推进政务公开工作的意见》</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信息形成或变更之日起</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个工作日内</w:t>
            </w:r>
          </w:p>
        </w:tc>
        <w:tc>
          <w:tcPr>
            <w:tcW w:w="1637"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江洪镇综合行政执法</w:t>
            </w:r>
            <w:r>
              <w:rPr>
                <w:rFonts w:hint="eastAsia" w:ascii="仿宋_GB2312" w:hAnsi="宋体" w:eastAsia="仿宋_GB2312"/>
                <w:sz w:val="18"/>
                <w:szCs w:val="18"/>
              </w:rPr>
              <w:t>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564" w:type="dxa"/>
            <w:vAlign w:val="center"/>
          </w:tcPr>
          <w:p>
            <w:pPr>
              <w:rPr>
                <w:rFonts w:ascii="仿宋_GB2312" w:hAnsi="宋体" w:eastAsia="仿宋_GB2312"/>
                <w:color w:val="000000"/>
                <w:sz w:val="18"/>
                <w:szCs w:val="18"/>
              </w:rPr>
            </w:pPr>
          </w:p>
        </w:tc>
        <w:tc>
          <w:tcPr>
            <w:tcW w:w="672" w:type="dxa"/>
          </w:tcPr>
          <w:p>
            <w:pPr>
              <w:jc w:val="center"/>
              <w:rPr>
                <w:rFonts w:ascii="仿宋_GB2312" w:hAnsi="宋体" w:eastAsia="仿宋_GB2312"/>
                <w:sz w:val="18"/>
                <w:szCs w:val="18"/>
              </w:rPr>
            </w:pPr>
          </w:p>
          <w:p>
            <w:pPr>
              <w:rPr>
                <w:rFonts w:ascii="仿宋_GB2312" w:hAnsi="宋体" w:eastAsia="仿宋_GB2312"/>
                <w:sz w:val="18"/>
                <w:szCs w:val="18"/>
              </w:rPr>
            </w:pPr>
          </w:p>
          <w:p>
            <w:pPr>
              <w:jc w:val="cente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4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09" w:type="dxa"/>
            <w:vMerge w:val="continue"/>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食品用药安全宣传活动</w:t>
            </w:r>
          </w:p>
        </w:tc>
        <w:tc>
          <w:tcPr>
            <w:tcW w:w="242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活动时间、活动地点、活动形式、活动主题和内容</w:t>
            </w:r>
          </w:p>
        </w:tc>
        <w:tc>
          <w:tcPr>
            <w:tcW w:w="253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《中华人民共和国政府信息公开条例》（中华人民共和国国务院令第711号）、《关于全面推进政务公开工作的意见》</w:t>
            </w:r>
          </w:p>
        </w:tc>
        <w:tc>
          <w:tcPr>
            <w:tcW w:w="143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永久公开</w:t>
            </w:r>
          </w:p>
        </w:tc>
        <w:tc>
          <w:tcPr>
            <w:tcW w:w="1637" w:type="dxa"/>
            <w:vAlign w:val="center"/>
          </w:tcPr>
          <w:p>
            <w:pPr>
              <w:jc w:val="center"/>
              <w:rPr>
                <w:rFonts w:ascii="仿宋_GB2312" w:hAnsi="宋体" w:eastAsia="仿宋_GB2312"/>
                <w:sz w:val="18"/>
                <w:szCs w:val="18"/>
              </w:rPr>
            </w:pPr>
            <w:r>
              <w:rPr>
                <w:rFonts w:hint="eastAsia" w:ascii="仿宋_GB2312" w:hAnsi="宋体" w:eastAsia="仿宋_GB2312"/>
                <w:sz w:val="18"/>
                <w:szCs w:val="18"/>
                <w:lang w:eastAsia="zh-CN"/>
              </w:rPr>
              <w:t>江洪镇综合行政执法</w:t>
            </w:r>
            <w:r>
              <w:rPr>
                <w:rFonts w:hint="eastAsia" w:ascii="仿宋_GB2312" w:hAnsi="宋体" w:eastAsia="仿宋_GB2312"/>
                <w:sz w:val="18"/>
                <w:szCs w:val="18"/>
              </w:rPr>
              <w:t>办公室</w:t>
            </w:r>
          </w:p>
        </w:tc>
        <w:tc>
          <w:tcPr>
            <w:tcW w:w="1786" w:type="dxa"/>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p>
        </w:tc>
        <w:tc>
          <w:tcPr>
            <w:tcW w:w="54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0" w:type="dxa"/>
            <w:vAlign w:val="center"/>
          </w:tcPr>
          <w:p>
            <w:pPr>
              <w:rPr>
                <w:rFonts w:ascii="仿宋_GB2312" w:hAnsi="宋体" w:eastAsia="仿宋_GB2312"/>
                <w:color w:val="000000"/>
                <w:sz w:val="18"/>
                <w:szCs w:val="18"/>
              </w:rPr>
            </w:pPr>
          </w:p>
        </w:tc>
        <w:tc>
          <w:tcPr>
            <w:tcW w:w="55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2" w:type="dxa"/>
            <w:vAlign w:val="center"/>
          </w:tcPr>
          <w:p>
            <w:pPr>
              <w:rPr>
                <w:rFonts w:ascii="仿宋_GB2312" w:hAnsi="宋体" w:eastAsia="仿宋_GB2312"/>
                <w:color w:val="000000"/>
                <w:sz w:val="18"/>
                <w:szCs w:val="18"/>
              </w:rPr>
            </w:pPr>
          </w:p>
        </w:tc>
        <w:tc>
          <w:tcPr>
            <w:tcW w:w="564" w:type="dxa"/>
            <w:vAlign w:val="center"/>
          </w:tcPr>
          <w:p>
            <w:pPr>
              <w:rPr>
                <w:rFonts w:ascii="仿宋_GB2312" w:hAnsi="宋体" w:eastAsia="仿宋_GB2312"/>
                <w:color w:val="000000"/>
                <w:sz w:val="18"/>
                <w:szCs w:val="18"/>
              </w:rPr>
            </w:pPr>
          </w:p>
        </w:tc>
        <w:tc>
          <w:tcPr>
            <w:tcW w:w="672" w:type="dxa"/>
          </w:tcPr>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rPr>
                <w:rFonts w:ascii="仿宋_GB2312" w:hAnsi="宋体" w:eastAsia="仿宋_GB2312"/>
                <w:sz w:val="18"/>
                <w:szCs w:val="18"/>
              </w:rPr>
            </w:pPr>
          </w:p>
          <w:p>
            <w:pPr>
              <w:jc w:val="center"/>
            </w:pPr>
            <w:r>
              <w:rPr>
                <w:rFonts w:hint="eastAsia" w:ascii="仿宋_GB2312" w:hAnsi="宋体" w:eastAsia="仿宋_GB2312"/>
                <w:sz w:val="18"/>
                <w:szCs w:val="18"/>
              </w:rPr>
              <w:t>√</w:t>
            </w:r>
          </w:p>
        </w:tc>
      </w:tr>
    </w:tbl>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Pr>
        <w:adjustRightInd w:val="0"/>
        <w:snapToGrid w:val="0"/>
        <w:spacing w:line="600" w:lineRule="exact"/>
        <w:rPr>
          <w:rFonts w:ascii="方正小标宋简体" w:eastAsia="方正小标宋简体"/>
          <w:sz w:val="44"/>
          <w:szCs w:val="44"/>
        </w:rPr>
      </w:pPr>
    </w:p>
    <w:p/>
    <w:p>
      <w:pPr>
        <w:pStyle w:val="2"/>
        <w:jc w:val="center"/>
        <w:rPr>
          <w:rFonts w:ascii="方正小标宋_GBK" w:hAnsi="方正小标宋_GBK" w:eastAsia="方正小标宋_GBK"/>
          <w:b w:val="0"/>
          <w:bCs w:val="0"/>
          <w:sz w:val="30"/>
        </w:rPr>
      </w:pPr>
      <w:bookmarkStart w:id="17" w:name="_Toc7004"/>
      <w:r>
        <w:rPr>
          <w:rFonts w:hint="eastAsia" w:ascii="方正小标宋_GBK" w:hAnsi="方正小标宋_GBK" w:eastAsia="方正小标宋_GBK"/>
          <w:b w:val="0"/>
          <w:bCs w:val="0"/>
          <w:sz w:val="30"/>
          <w:szCs w:val="28"/>
        </w:rPr>
        <w:t>（十二）</w:t>
      </w:r>
      <w:r>
        <w:rPr>
          <w:rFonts w:hint="eastAsia" w:ascii="方正小标宋_GBK" w:hAnsi="方正小标宋_GBK" w:eastAsia="方正小标宋_GBK"/>
          <w:b w:val="0"/>
          <w:bCs w:val="0"/>
          <w:sz w:val="30"/>
        </w:rPr>
        <w:t>财政预决算领域基层政务公开标准目录</w:t>
      </w:r>
      <w:bookmarkEnd w:id="17"/>
    </w:p>
    <w:tbl>
      <w:tblPr>
        <w:tblStyle w:val="10"/>
        <w:tblW w:w="16048"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1"/>
        <w:gridCol w:w="776"/>
        <w:gridCol w:w="709"/>
        <w:gridCol w:w="2302"/>
        <w:gridCol w:w="2631"/>
        <w:gridCol w:w="1984"/>
        <w:gridCol w:w="992"/>
        <w:gridCol w:w="1586"/>
        <w:gridCol w:w="540"/>
        <w:gridCol w:w="630"/>
        <w:gridCol w:w="630"/>
        <w:gridCol w:w="720"/>
        <w:gridCol w:w="4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blHeader/>
        </w:trPr>
        <w:tc>
          <w:tcPr>
            <w:tcW w:w="495" w:type="dxa"/>
            <w:vMerge w:val="restart"/>
            <w:vAlign w:val="center"/>
          </w:tcPr>
          <w:p>
            <w:pPr>
              <w:widowControl/>
              <w:spacing w:line="240" w:lineRule="atLeast"/>
              <w:jc w:val="center"/>
              <w:rPr>
                <w:rFonts w:ascii="Times New Roman" w:hAnsi="Times New Roman"/>
                <w:color w:val="000000"/>
                <w:kern w:val="0"/>
                <w:sz w:val="22"/>
              </w:rPr>
            </w:pPr>
            <w:r>
              <w:rPr>
                <w:rFonts w:ascii="黑体" w:hAnsi="宋体" w:eastAsia="黑体" w:cs="宋体"/>
                <w:color w:val="000000"/>
                <w:kern w:val="0"/>
                <w:sz w:val="22"/>
              </w:rPr>
              <w:t>序号</w:t>
            </w:r>
          </w:p>
        </w:tc>
        <w:tc>
          <w:tcPr>
            <w:tcW w:w="85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相应领域</w:t>
            </w:r>
          </w:p>
        </w:tc>
        <w:tc>
          <w:tcPr>
            <w:tcW w:w="1485"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02"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631"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4"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92"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586"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17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5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2"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95" w:type="dxa"/>
            <w:vMerge w:val="continue"/>
            <w:vAlign w:val="center"/>
          </w:tcPr>
          <w:p>
            <w:pPr>
              <w:widowControl/>
              <w:spacing w:line="240" w:lineRule="atLeast"/>
              <w:jc w:val="left"/>
              <w:rPr>
                <w:rFonts w:ascii="Times New Roman" w:hAnsi="Times New Roman"/>
                <w:color w:val="000000"/>
                <w:kern w:val="0"/>
                <w:sz w:val="22"/>
              </w:rPr>
            </w:pPr>
          </w:p>
        </w:tc>
        <w:tc>
          <w:tcPr>
            <w:tcW w:w="851" w:type="dxa"/>
            <w:vMerge w:val="continue"/>
            <w:vAlign w:val="center"/>
          </w:tcPr>
          <w:p>
            <w:pPr>
              <w:widowControl/>
              <w:spacing w:line="240" w:lineRule="atLeast"/>
              <w:jc w:val="center"/>
              <w:rPr>
                <w:rFonts w:ascii="黑体" w:hAnsi="宋体" w:eastAsia="黑体" w:cs="宋体"/>
                <w:color w:val="000000"/>
                <w:kern w:val="0"/>
                <w:sz w:val="22"/>
              </w:rPr>
            </w:pPr>
          </w:p>
        </w:tc>
        <w:tc>
          <w:tcPr>
            <w:tcW w:w="776"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02" w:type="dxa"/>
            <w:vMerge w:val="continue"/>
            <w:vAlign w:val="center"/>
          </w:tcPr>
          <w:p>
            <w:pPr>
              <w:widowControl/>
              <w:spacing w:line="240" w:lineRule="atLeast"/>
              <w:rPr>
                <w:rFonts w:ascii="黑体" w:hAnsi="宋体" w:eastAsia="黑体" w:cs="宋体"/>
                <w:color w:val="000000"/>
                <w:kern w:val="0"/>
                <w:sz w:val="22"/>
              </w:rPr>
            </w:pPr>
          </w:p>
        </w:tc>
        <w:tc>
          <w:tcPr>
            <w:tcW w:w="2631" w:type="dxa"/>
            <w:vMerge w:val="continue"/>
            <w:vAlign w:val="center"/>
          </w:tcPr>
          <w:p>
            <w:pPr>
              <w:widowControl/>
              <w:spacing w:line="240" w:lineRule="atLeast"/>
              <w:jc w:val="left"/>
              <w:rPr>
                <w:rFonts w:ascii="黑体" w:hAnsi="宋体" w:eastAsia="黑体" w:cs="宋体"/>
                <w:color w:val="000000"/>
                <w:kern w:val="0"/>
                <w:sz w:val="22"/>
              </w:rPr>
            </w:pPr>
          </w:p>
        </w:tc>
        <w:tc>
          <w:tcPr>
            <w:tcW w:w="1984" w:type="dxa"/>
            <w:vMerge w:val="continue"/>
            <w:vAlign w:val="center"/>
          </w:tcPr>
          <w:p>
            <w:pPr>
              <w:widowControl/>
              <w:spacing w:line="240" w:lineRule="atLeast"/>
              <w:jc w:val="left"/>
              <w:rPr>
                <w:rFonts w:ascii="黑体" w:hAnsi="宋体" w:eastAsia="黑体" w:cs="宋体"/>
                <w:color w:val="000000"/>
                <w:kern w:val="0"/>
                <w:sz w:val="22"/>
              </w:rPr>
            </w:pPr>
          </w:p>
        </w:tc>
        <w:tc>
          <w:tcPr>
            <w:tcW w:w="992" w:type="dxa"/>
            <w:vMerge w:val="continue"/>
            <w:vAlign w:val="center"/>
          </w:tcPr>
          <w:p>
            <w:pPr>
              <w:widowControl/>
              <w:spacing w:line="240" w:lineRule="atLeast"/>
              <w:jc w:val="left"/>
              <w:rPr>
                <w:rFonts w:ascii="黑体" w:hAnsi="宋体" w:eastAsia="黑体" w:cs="宋体"/>
                <w:color w:val="000000"/>
                <w:kern w:val="0"/>
                <w:sz w:val="22"/>
              </w:rPr>
            </w:pPr>
          </w:p>
        </w:tc>
        <w:tc>
          <w:tcPr>
            <w:tcW w:w="1586"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63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93"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w:t>
            </w:r>
          </w:p>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7" w:hRule="atLeast"/>
          <w:tblHeader/>
        </w:trPr>
        <w:tc>
          <w:tcPr>
            <w:tcW w:w="495" w:type="dxa"/>
            <w:vAlign w:val="center"/>
          </w:tcPr>
          <w:p>
            <w:pPr>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1"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76"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09"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部门预（决）算</w:t>
            </w:r>
          </w:p>
        </w:tc>
        <w:tc>
          <w:tcPr>
            <w:tcW w:w="2302" w:type="dxa"/>
            <w:vAlign w:val="center"/>
          </w:tcPr>
          <w:p>
            <w:pPr>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1.</w:t>
            </w:r>
            <w:r>
              <w:rPr>
                <w:rFonts w:hint="eastAsia" w:ascii="仿宋_GB2312" w:hAnsi="宋体" w:eastAsia="仿宋_GB2312"/>
                <w:color w:val="000000"/>
                <w:sz w:val="18"/>
                <w:szCs w:val="18"/>
              </w:rPr>
              <w:t>财政拨款收支情况表：</w:t>
            </w:r>
          </w:p>
          <w:p>
            <w:pPr>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①一般公共预算基本支出情况表</w:t>
            </w:r>
          </w:p>
          <w:p>
            <w:pPr>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②一般公共预算“三公”经费支出情况表</w:t>
            </w:r>
          </w:p>
          <w:p>
            <w:pPr>
              <w:spacing w:line="240" w:lineRule="atLeast"/>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一般公共预算“三公”经费支出表，包括因公出国（境）费、公务用车购置及运行费（细化到公务用车购置费、公务用车运行费两个项目）、公务接待费以及增减变化情况说明</w:t>
            </w:r>
          </w:p>
          <w:p>
            <w:pPr>
              <w:spacing w:line="240" w:lineRule="atLeast"/>
              <w:jc w:val="left"/>
              <w:textAlignment w:val="center"/>
              <w:rPr>
                <w:rFonts w:ascii="仿宋_GB2312" w:hAnsi="宋体" w:eastAsia="仿宋_GB2312"/>
                <w:color w:val="000000"/>
                <w:sz w:val="18"/>
                <w:szCs w:val="18"/>
              </w:rPr>
            </w:pPr>
          </w:p>
        </w:tc>
        <w:tc>
          <w:tcPr>
            <w:tcW w:w="2631"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《中华人民共和国预算法》、《中华人民共和国政府信息公开条例》（中华人民共和国国务院令第711号）、《财政部关于印发&lt;地方预决算公开操作规程&gt;</w:t>
            </w:r>
            <w:bookmarkStart w:id="18" w:name="_GoBack"/>
            <w:bookmarkEnd w:id="18"/>
            <w:r>
              <w:rPr>
                <w:rFonts w:hint="eastAsia" w:ascii="仿宋_GB2312" w:hAnsi="宋体" w:eastAsia="仿宋_GB2312"/>
                <w:color w:val="000000"/>
                <w:sz w:val="18"/>
                <w:szCs w:val="18"/>
              </w:rPr>
              <w:t>的通知》（财预〔2016〕143号）</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《财政部关于印发&lt;地方政府债务信息公开办法（试行）&gt;的通知》（财预〔2018〕209号）等法律法规和文件规定</w:t>
            </w:r>
          </w:p>
          <w:p>
            <w:pPr>
              <w:widowControl/>
              <w:spacing w:line="240" w:lineRule="atLeast"/>
              <w:textAlignment w:val="center"/>
              <w:rPr>
                <w:rFonts w:ascii="仿宋_GB2312" w:hAnsi="宋体" w:eastAsia="仿宋_GB2312"/>
                <w:color w:val="000000"/>
                <w:sz w:val="18"/>
                <w:szCs w:val="18"/>
              </w:rPr>
            </w:pPr>
          </w:p>
          <w:p>
            <w:pPr>
              <w:spacing w:line="240" w:lineRule="atLeast"/>
              <w:textAlignment w:val="center"/>
              <w:rPr>
                <w:rFonts w:ascii="仿宋_GB2312" w:hAnsi="宋体" w:eastAsia="仿宋_GB2312"/>
                <w:color w:val="000000"/>
                <w:sz w:val="18"/>
                <w:szCs w:val="18"/>
              </w:rPr>
            </w:pPr>
          </w:p>
        </w:tc>
        <w:tc>
          <w:tcPr>
            <w:tcW w:w="1984" w:type="dxa"/>
            <w:vAlign w:val="center"/>
          </w:tcPr>
          <w:p>
            <w:pPr>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92" w:type="dxa"/>
            <w:vAlign w:val="center"/>
          </w:tcPr>
          <w:p>
            <w:pPr>
              <w:spacing w:line="240" w:lineRule="atLeast"/>
              <w:jc w:val="center"/>
              <w:textAlignment w:val="center"/>
              <w:rPr>
                <w:rFonts w:hint="eastAsia" w:ascii="仿宋_GB2312" w:hAnsi="宋体" w:eastAsia="仿宋_GB2312"/>
                <w:sz w:val="18"/>
                <w:szCs w:val="18"/>
                <w:lang w:eastAsia="zh-CN"/>
              </w:rPr>
            </w:pPr>
            <w:r>
              <w:rPr>
                <w:rFonts w:hint="eastAsia" w:ascii="仿宋_GB2312" w:hAnsi="宋体" w:eastAsia="仿宋_GB2312"/>
                <w:sz w:val="18"/>
                <w:szCs w:val="18"/>
                <w:lang w:eastAsia="zh-CN"/>
              </w:rPr>
              <w:t>江洪镇人民政府</w:t>
            </w:r>
          </w:p>
        </w:tc>
        <w:tc>
          <w:tcPr>
            <w:tcW w:w="1586"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40"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30" w:type="dxa"/>
            <w:vAlign w:val="center"/>
          </w:tcPr>
          <w:p>
            <w:pPr>
              <w:widowControl/>
              <w:spacing w:line="240" w:lineRule="atLeast"/>
              <w:rPr>
                <w:rFonts w:ascii="仿宋_GB2312" w:hAnsi="宋体" w:eastAsia="仿宋_GB2312"/>
                <w:color w:val="000000"/>
                <w:sz w:val="18"/>
                <w:szCs w:val="18"/>
              </w:rPr>
            </w:pPr>
          </w:p>
        </w:tc>
        <w:tc>
          <w:tcPr>
            <w:tcW w:w="630"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493" w:type="dxa"/>
            <w:vAlign w:val="center"/>
          </w:tcPr>
          <w:p>
            <w:pPr>
              <w:spacing w:line="240" w:lineRule="atLeast"/>
              <w:jc w:val="center"/>
              <w:textAlignment w:val="center"/>
              <w:rPr>
                <w:rFonts w:ascii="仿宋_GB2312" w:hAnsi="宋体" w:eastAsia="仿宋_GB2312"/>
                <w:color w:val="000000"/>
                <w:sz w:val="18"/>
                <w:szCs w:val="18"/>
              </w:rPr>
            </w:pPr>
          </w:p>
        </w:tc>
        <w:tc>
          <w:tcPr>
            <w:tcW w:w="709" w:type="dxa"/>
            <w:vAlign w:val="center"/>
          </w:tcPr>
          <w:p>
            <w:pPr>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sz w:val="18"/>
                <w:szCs w:val="18"/>
              </w:rPr>
              <w:t>√</w:t>
            </w:r>
          </w:p>
        </w:tc>
      </w:tr>
    </w:tbl>
    <w:p>
      <w:pPr>
        <w:adjustRightInd w:val="0"/>
        <w:snapToGrid w:val="0"/>
        <w:spacing w:line="600" w:lineRule="exact"/>
        <w:rPr>
          <w:rFonts w:ascii="方正小标宋简体" w:eastAsia="方正小标宋简体"/>
          <w:sz w:val="44"/>
          <w:szCs w:val="44"/>
        </w:rPr>
      </w:pPr>
    </w:p>
    <w:sectPr>
      <w:footerReference r:id="rId5" w:type="default"/>
      <w:pgSz w:w="16838" w:h="11906" w:orient="landscape"/>
      <w:pgMar w:top="567" w:right="1418" w:bottom="567"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ODAyZjM3M2U2NWU5MGFlZjM3NWFmY2UyODc4NTAifQ=="/>
  </w:docVars>
  <w:rsids>
    <w:rsidRoot w:val="00AF706B"/>
    <w:rsid w:val="00007C19"/>
    <w:rsid w:val="00032E8F"/>
    <w:rsid w:val="0004355D"/>
    <w:rsid w:val="000737D1"/>
    <w:rsid w:val="000C25E2"/>
    <w:rsid w:val="000D6D76"/>
    <w:rsid w:val="000F1661"/>
    <w:rsid w:val="000F279F"/>
    <w:rsid w:val="001014D5"/>
    <w:rsid w:val="0011793F"/>
    <w:rsid w:val="00122769"/>
    <w:rsid w:val="001239BE"/>
    <w:rsid w:val="00123DAC"/>
    <w:rsid w:val="0016608C"/>
    <w:rsid w:val="00173AD1"/>
    <w:rsid w:val="00191EAC"/>
    <w:rsid w:val="001A6216"/>
    <w:rsid w:val="001E0078"/>
    <w:rsid w:val="001E4421"/>
    <w:rsid w:val="00207465"/>
    <w:rsid w:val="00211794"/>
    <w:rsid w:val="00222592"/>
    <w:rsid w:val="00223F07"/>
    <w:rsid w:val="00231D61"/>
    <w:rsid w:val="002366D0"/>
    <w:rsid w:val="00267E48"/>
    <w:rsid w:val="00284E1C"/>
    <w:rsid w:val="002B5154"/>
    <w:rsid w:val="002C008A"/>
    <w:rsid w:val="002C0105"/>
    <w:rsid w:val="002F0DA6"/>
    <w:rsid w:val="0030270B"/>
    <w:rsid w:val="0033525E"/>
    <w:rsid w:val="003440B0"/>
    <w:rsid w:val="00352741"/>
    <w:rsid w:val="00356881"/>
    <w:rsid w:val="00363F52"/>
    <w:rsid w:val="003A516A"/>
    <w:rsid w:val="003C3C22"/>
    <w:rsid w:val="003E1060"/>
    <w:rsid w:val="003E73F6"/>
    <w:rsid w:val="003F00AF"/>
    <w:rsid w:val="0041736C"/>
    <w:rsid w:val="004379DF"/>
    <w:rsid w:val="004438FE"/>
    <w:rsid w:val="00451581"/>
    <w:rsid w:val="00493EA5"/>
    <w:rsid w:val="004A1F83"/>
    <w:rsid w:val="004A737D"/>
    <w:rsid w:val="004B657A"/>
    <w:rsid w:val="004D6A15"/>
    <w:rsid w:val="004F417A"/>
    <w:rsid w:val="00544C3D"/>
    <w:rsid w:val="005547A0"/>
    <w:rsid w:val="005645E2"/>
    <w:rsid w:val="00572227"/>
    <w:rsid w:val="005A726B"/>
    <w:rsid w:val="005A79EB"/>
    <w:rsid w:val="005E3662"/>
    <w:rsid w:val="005E767A"/>
    <w:rsid w:val="005F1782"/>
    <w:rsid w:val="005F698E"/>
    <w:rsid w:val="0062145C"/>
    <w:rsid w:val="00626042"/>
    <w:rsid w:val="00647FE0"/>
    <w:rsid w:val="00674A01"/>
    <w:rsid w:val="006A0C7F"/>
    <w:rsid w:val="006A2084"/>
    <w:rsid w:val="006A3FE5"/>
    <w:rsid w:val="006B2DA1"/>
    <w:rsid w:val="006D3844"/>
    <w:rsid w:val="006E4A16"/>
    <w:rsid w:val="00710F79"/>
    <w:rsid w:val="0074725D"/>
    <w:rsid w:val="00747281"/>
    <w:rsid w:val="00761FC7"/>
    <w:rsid w:val="00775EE7"/>
    <w:rsid w:val="007B1350"/>
    <w:rsid w:val="007E6EB5"/>
    <w:rsid w:val="007F02A3"/>
    <w:rsid w:val="007F70FA"/>
    <w:rsid w:val="0080605B"/>
    <w:rsid w:val="00816648"/>
    <w:rsid w:val="008313F1"/>
    <w:rsid w:val="008320A6"/>
    <w:rsid w:val="008406E5"/>
    <w:rsid w:val="00842431"/>
    <w:rsid w:val="008434BE"/>
    <w:rsid w:val="00853C75"/>
    <w:rsid w:val="008624B7"/>
    <w:rsid w:val="00864748"/>
    <w:rsid w:val="008669AC"/>
    <w:rsid w:val="008724BD"/>
    <w:rsid w:val="00872D88"/>
    <w:rsid w:val="00887CB4"/>
    <w:rsid w:val="008A6305"/>
    <w:rsid w:val="008B0E5B"/>
    <w:rsid w:val="008B2EA2"/>
    <w:rsid w:val="008E1B68"/>
    <w:rsid w:val="008E68DB"/>
    <w:rsid w:val="008F3429"/>
    <w:rsid w:val="008F6DC0"/>
    <w:rsid w:val="0090226A"/>
    <w:rsid w:val="00911C2E"/>
    <w:rsid w:val="00930E6F"/>
    <w:rsid w:val="00950FCD"/>
    <w:rsid w:val="00956A00"/>
    <w:rsid w:val="00967DC0"/>
    <w:rsid w:val="00980B43"/>
    <w:rsid w:val="009B144E"/>
    <w:rsid w:val="009C6743"/>
    <w:rsid w:val="00A25EE3"/>
    <w:rsid w:val="00A3244C"/>
    <w:rsid w:val="00A37D7A"/>
    <w:rsid w:val="00A45DD5"/>
    <w:rsid w:val="00A804F2"/>
    <w:rsid w:val="00A8067D"/>
    <w:rsid w:val="00A80A9D"/>
    <w:rsid w:val="00AA2F2A"/>
    <w:rsid w:val="00AB6C5D"/>
    <w:rsid w:val="00AC7CF3"/>
    <w:rsid w:val="00AF0C1D"/>
    <w:rsid w:val="00AF5548"/>
    <w:rsid w:val="00AF706B"/>
    <w:rsid w:val="00B02C0D"/>
    <w:rsid w:val="00B0619B"/>
    <w:rsid w:val="00B130D6"/>
    <w:rsid w:val="00B277D8"/>
    <w:rsid w:val="00B35D70"/>
    <w:rsid w:val="00B366FB"/>
    <w:rsid w:val="00B45BFA"/>
    <w:rsid w:val="00B47A1D"/>
    <w:rsid w:val="00B54544"/>
    <w:rsid w:val="00B77D7C"/>
    <w:rsid w:val="00B81952"/>
    <w:rsid w:val="00BA793C"/>
    <w:rsid w:val="00BD3FAD"/>
    <w:rsid w:val="00BF64D5"/>
    <w:rsid w:val="00C16A2B"/>
    <w:rsid w:val="00C2496B"/>
    <w:rsid w:val="00C341D2"/>
    <w:rsid w:val="00C34D87"/>
    <w:rsid w:val="00C439DE"/>
    <w:rsid w:val="00C56850"/>
    <w:rsid w:val="00C5732C"/>
    <w:rsid w:val="00C70452"/>
    <w:rsid w:val="00C7106D"/>
    <w:rsid w:val="00C76BB1"/>
    <w:rsid w:val="00C86FB1"/>
    <w:rsid w:val="00CA1A7B"/>
    <w:rsid w:val="00CD0D72"/>
    <w:rsid w:val="00CE0386"/>
    <w:rsid w:val="00CF3F1B"/>
    <w:rsid w:val="00D001C5"/>
    <w:rsid w:val="00D01C06"/>
    <w:rsid w:val="00D176EA"/>
    <w:rsid w:val="00D31B2B"/>
    <w:rsid w:val="00D4771D"/>
    <w:rsid w:val="00D56B7E"/>
    <w:rsid w:val="00D627B2"/>
    <w:rsid w:val="00D64A68"/>
    <w:rsid w:val="00D760EB"/>
    <w:rsid w:val="00D964D4"/>
    <w:rsid w:val="00DA3D02"/>
    <w:rsid w:val="00DA4967"/>
    <w:rsid w:val="00DB1DA3"/>
    <w:rsid w:val="00DB22A4"/>
    <w:rsid w:val="00DC0319"/>
    <w:rsid w:val="00DC375E"/>
    <w:rsid w:val="00E24F5B"/>
    <w:rsid w:val="00E25903"/>
    <w:rsid w:val="00E847C9"/>
    <w:rsid w:val="00EA0BD2"/>
    <w:rsid w:val="00EA3B5D"/>
    <w:rsid w:val="00EB1F9C"/>
    <w:rsid w:val="00EB62B9"/>
    <w:rsid w:val="00EC7892"/>
    <w:rsid w:val="00EE3525"/>
    <w:rsid w:val="00EE5860"/>
    <w:rsid w:val="00EE5E84"/>
    <w:rsid w:val="00EF23C5"/>
    <w:rsid w:val="00EF3106"/>
    <w:rsid w:val="00EF7010"/>
    <w:rsid w:val="00F1435D"/>
    <w:rsid w:val="00F36195"/>
    <w:rsid w:val="00F54EE4"/>
    <w:rsid w:val="00FA1C16"/>
    <w:rsid w:val="00FA528D"/>
    <w:rsid w:val="00FB0F26"/>
    <w:rsid w:val="00FC0726"/>
    <w:rsid w:val="00FC7935"/>
    <w:rsid w:val="0E630E02"/>
    <w:rsid w:val="10C17DA3"/>
    <w:rsid w:val="16A52ADF"/>
    <w:rsid w:val="20B63DAF"/>
    <w:rsid w:val="27770D55"/>
    <w:rsid w:val="28DE2AE4"/>
    <w:rsid w:val="29D945FA"/>
    <w:rsid w:val="3B9B5595"/>
    <w:rsid w:val="3DCD7FAD"/>
    <w:rsid w:val="44E30C88"/>
    <w:rsid w:val="49CA7BE0"/>
    <w:rsid w:val="4E291035"/>
    <w:rsid w:val="52096AA4"/>
    <w:rsid w:val="530E2ED8"/>
    <w:rsid w:val="5B3D4B8D"/>
    <w:rsid w:val="659F2244"/>
    <w:rsid w:val="68E63EB3"/>
    <w:rsid w:val="6E2C6196"/>
    <w:rsid w:val="70935F66"/>
    <w:rsid w:val="716E208B"/>
    <w:rsid w:val="730F15F2"/>
    <w:rsid w:val="745D6DF3"/>
    <w:rsid w:val="75D409CB"/>
    <w:rsid w:val="7D120A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0"/>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20"/>
    <w:semiHidden/>
    <w:qFormat/>
    <w:uiPriority w:val="0"/>
    <w:rPr>
      <w:rFonts w:ascii="Calibri" w:hAnsi="Calibri" w:eastAsia="仿宋" w:cs="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annotation subject"/>
    <w:basedOn w:val="3"/>
    <w:next w:val="3"/>
    <w:link w:val="19"/>
    <w:semiHidden/>
    <w:qFormat/>
    <w:uiPriority w:val="0"/>
    <w:rPr>
      <w:rFonts w:ascii="Calibri" w:hAnsi="Calibri" w:eastAsia="仿宋" w:cs="Times New Roman"/>
      <w:b/>
      <w:bCs/>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标题 1 Char"/>
    <w:basedOn w:val="11"/>
    <w:link w:val="2"/>
    <w:qFormat/>
    <w:uiPriority w:val="0"/>
    <w:rPr>
      <w:rFonts w:ascii="Calibri" w:hAnsi="Calibri" w:eastAsia="宋体" w:cs="Times New Roman"/>
      <w:b/>
      <w:bCs/>
      <w:kern w:val="44"/>
      <w:sz w:val="44"/>
      <w:szCs w:val="44"/>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日期 Char"/>
    <w:basedOn w:val="11"/>
    <w:link w:val="4"/>
    <w:semiHidden/>
    <w:qFormat/>
    <w:uiPriority w:val="99"/>
  </w:style>
  <w:style w:type="paragraph" w:styleId="17">
    <w:name w:val="List Paragraph"/>
    <w:basedOn w:val="1"/>
    <w:qFormat/>
    <w:uiPriority w:val="34"/>
    <w:pPr>
      <w:ind w:firstLine="420" w:firstLineChars="200"/>
    </w:pPr>
  </w:style>
  <w:style w:type="character" w:customStyle="1" w:styleId="18">
    <w:name w:val="批注文字 Char"/>
    <w:basedOn w:val="11"/>
    <w:link w:val="3"/>
    <w:semiHidden/>
    <w:qFormat/>
    <w:uiPriority w:val="99"/>
  </w:style>
  <w:style w:type="character" w:customStyle="1" w:styleId="19">
    <w:name w:val="批注主题 Char"/>
    <w:basedOn w:val="18"/>
    <w:link w:val="9"/>
    <w:semiHidden/>
    <w:qFormat/>
    <w:uiPriority w:val="0"/>
    <w:rPr>
      <w:rFonts w:ascii="Calibri" w:hAnsi="Calibri" w:eastAsia="仿宋" w:cs="Times New Roman"/>
      <w:b/>
      <w:bCs/>
    </w:rPr>
  </w:style>
  <w:style w:type="character" w:customStyle="1" w:styleId="20">
    <w:name w:val="批注框文本 Char"/>
    <w:basedOn w:val="11"/>
    <w:link w:val="5"/>
    <w:semiHidden/>
    <w:qFormat/>
    <w:uiPriority w:val="0"/>
    <w:rPr>
      <w:rFonts w:ascii="Calibri" w:hAnsi="Calibri" w:eastAsia="仿宋" w:cs="Times New Roman"/>
      <w:sz w:val="18"/>
      <w:szCs w:val="18"/>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2">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A0D127-C713-4963-98D6-147BF8EFAE5E}">
  <ds:schemaRefs/>
</ds:datastoreItem>
</file>

<file path=docProps/app.xml><?xml version="1.0" encoding="utf-8"?>
<Properties xmlns="http://schemas.openxmlformats.org/officeDocument/2006/extended-properties" xmlns:vt="http://schemas.openxmlformats.org/officeDocument/2006/docPropsVTypes">
  <Template>Normal</Template>
  <Company>zjhkdn</Company>
  <Pages>20</Pages>
  <Words>9175</Words>
  <Characters>9383</Characters>
  <Lines>88</Lines>
  <Paragraphs>24</Paragraphs>
  <TotalTime>0</TotalTime>
  <ScaleCrop>false</ScaleCrop>
  <LinksUpToDate>false</LinksUpToDate>
  <CharactersWithSpaces>10503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2020-11-24T07:20:00Z</dcterms:created>
  <dc:creator>20200108</dc:creator>
  <cp:lastModifiedBy>喝酸奶不舔酸奶盖</cp:lastModifiedBy>
  <cp:lastPrinted>2022-12-09T09:17:00Z</cp:lastPrinted>
  <dcterms:modified xsi:type="dcterms:W3CDTF">2023-10-05T01:54:41Z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BCC5BB55E57F43CE8B6B91D07648C6B1</vt:lpwstr>
  </property>
</Properties>
</file>