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41" w:type="dxa"/>
        <w:tblInd w:w="0" w:type="dxa"/>
        <w:shd w:val="clear" w:color="auto" w:fill="auto"/>
        <w:tblLayout w:type="fixed"/>
        <w:tblCellMar>
          <w:top w:w="0" w:type="dxa"/>
          <w:left w:w="0" w:type="dxa"/>
          <w:bottom w:w="0" w:type="dxa"/>
          <w:right w:w="0" w:type="dxa"/>
        </w:tblCellMar>
      </w:tblPr>
      <w:tblGrid>
        <w:gridCol w:w="1243"/>
        <w:gridCol w:w="1"/>
        <w:gridCol w:w="3035"/>
        <w:gridCol w:w="7065"/>
        <w:gridCol w:w="2806"/>
        <w:gridCol w:w="91"/>
      </w:tblGrid>
      <w:tr>
        <w:tblPrEx>
          <w:shd w:val="clear" w:color="auto" w:fill="auto"/>
          <w:tblLayout w:type="fixed"/>
          <w:tblCellMar>
            <w:top w:w="0" w:type="dxa"/>
            <w:left w:w="0" w:type="dxa"/>
            <w:bottom w:w="0" w:type="dxa"/>
            <w:right w:w="0" w:type="dxa"/>
          </w:tblCellMar>
        </w:tblPrEx>
        <w:trPr>
          <w:trHeight w:val="1376" w:hRule="atLeast"/>
        </w:trPr>
        <w:tc>
          <w:tcPr>
            <w:tcW w:w="1424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40"/>
                <w:szCs w:val="40"/>
                <w:u w:val="none"/>
                <w:lang w:val="en-US" w:eastAsia="zh-CN" w:bidi="ar"/>
              </w:rPr>
            </w:pPr>
            <w:r>
              <w:rPr>
                <w:rFonts w:hint="eastAsia" w:ascii="宋体" w:hAnsi="宋体" w:eastAsia="宋体" w:cs="宋体"/>
                <w:i w:val="0"/>
                <w:color w:val="000000"/>
                <w:kern w:val="0"/>
                <w:sz w:val="40"/>
                <w:szCs w:val="40"/>
                <w:u w:val="none"/>
                <w:lang w:val="en-US" w:eastAsia="zh-CN" w:bidi="ar"/>
              </w:rPr>
              <w:t>遂溪县农业农村局市场准入负面清单（2018年版）</w:t>
            </w:r>
          </w:p>
        </w:tc>
      </w:tr>
      <w:tr>
        <w:tblPrEx>
          <w:tblLayout w:type="fixed"/>
          <w:tblCellMar>
            <w:top w:w="0" w:type="dxa"/>
            <w:left w:w="0" w:type="dxa"/>
            <w:bottom w:w="0" w:type="dxa"/>
            <w:right w:w="0" w:type="dxa"/>
          </w:tblCellMar>
        </w:tblPrEx>
        <w:trPr>
          <w:gridAfter w:val="1"/>
          <w:wAfter w:w="91" w:type="dxa"/>
          <w:trHeight w:val="755" w:hRule="atLeast"/>
        </w:trPr>
        <w:tc>
          <w:tcPr>
            <w:tcW w:w="1244" w:type="dxa"/>
            <w:gridSpan w:val="2"/>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项目号</w:t>
            </w:r>
          </w:p>
        </w:tc>
        <w:tc>
          <w:tcPr>
            <w:tcW w:w="3035"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禁止或许可事项</w:t>
            </w:r>
          </w:p>
        </w:tc>
        <w:tc>
          <w:tcPr>
            <w:tcW w:w="7065"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禁止或许可准入措施描述</w:t>
            </w:r>
          </w:p>
        </w:tc>
        <w:tc>
          <w:tcPr>
            <w:tcW w:w="2806"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地方性许可措施</w:t>
            </w:r>
          </w:p>
        </w:tc>
      </w:tr>
      <w:tr>
        <w:tblPrEx>
          <w:shd w:val="clear" w:color="auto" w:fill="auto"/>
          <w:tblLayout w:type="fixed"/>
          <w:tblCellMar>
            <w:top w:w="0" w:type="dxa"/>
            <w:left w:w="0" w:type="dxa"/>
            <w:bottom w:w="0" w:type="dxa"/>
            <w:right w:w="0" w:type="dxa"/>
          </w:tblCellMar>
        </w:tblPrEx>
        <w:trPr>
          <w:gridAfter w:val="1"/>
          <w:wAfter w:w="91" w:type="dxa"/>
          <w:trHeight w:val="2324" w:hRule="atLeast"/>
        </w:trPr>
        <w:tc>
          <w:tcPr>
            <w:tcW w:w="124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1</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未获得许可或资质，不得从事特定植物种植加工或种子、种苗的生产、经营、检测和进出口</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农作物种子、草种、食用菌菌种、林木种子生产、经营、进出口许可</w:t>
            </w:r>
          </w:p>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农作物种子、草种、食用菌菌种、林木种子质量检验机构资格认定</w:t>
            </w:r>
          </w:p>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收购珍贵及限制收购的林木种子、采集或采伐国家重点保护的天然种质资源审批</w:t>
            </w:r>
          </w:p>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向境外提供种质资源，或者与境外机构、个人开展合作研究利用种质资源的审批</w:t>
            </w:r>
          </w:p>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向外国人转让农业、林业植物新品种申请权或品种权审批</w:t>
            </w:r>
          </w:p>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大麻种植、加工及种子经营许可</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林木种苗生产经营许可</w:t>
            </w:r>
          </w:p>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w:t>
            </w:r>
          </w:p>
        </w:tc>
      </w:tr>
      <w:tr>
        <w:tblPrEx>
          <w:shd w:val="clear" w:color="auto" w:fill="auto"/>
          <w:tblLayout w:type="fixed"/>
          <w:tblCellMar>
            <w:top w:w="0" w:type="dxa"/>
            <w:left w:w="0" w:type="dxa"/>
            <w:bottom w:w="0" w:type="dxa"/>
            <w:right w:w="0" w:type="dxa"/>
          </w:tblCellMar>
        </w:tblPrEx>
        <w:trPr>
          <w:gridAfter w:val="1"/>
          <w:wAfter w:w="91" w:type="dxa"/>
          <w:trHeight w:val="90"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4"/>
                <w:szCs w:val="24"/>
                <w:u w:val="none"/>
              </w:rPr>
            </w:pPr>
            <w:r>
              <w:rPr>
                <w:rFonts w:hint="eastAsia" w:ascii="Times New Roman" w:hAnsi="Times New Roman" w:eastAsia="宋体" w:cs="Times New Roman"/>
                <w:i w:val="0"/>
                <w:color w:val="000000"/>
                <w:kern w:val="0"/>
                <w:sz w:val="24"/>
                <w:szCs w:val="24"/>
                <w:u w:val="none"/>
                <w:lang w:val="en-US" w:eastAsia="zh-CN" w:bidi="ar"/>
              </w:rPr>
              <w:t>2</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未获得许可，不得调运农林植物及其产品，不得从国外引进动物、动物产品、农业、林木种子、苗木及其他繁殖材料</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从国外引进动物、动物产品、农业、林木种子、苗木及其他繁殖材料检疫审批</w:t>
            </w:r>
          </w:p>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农业、林业植物及其产品调运检疫及植物检疫证书签发</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color w:val="auto"/>
                <w:w w:val="99"/>
                <w:sz w:val="24"/>
                <w:szCs w:val="24"/>
                <w:lang w:val="en-US" w:eastAsia="zh-CN"/>
              </w:rPr>
              <w:t>3</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leftChars="0"/>
              <w:rPr>
                <w:rFonts w:hint="eastAsia" w:ascii="宋体" w:hAnsi="宋体" w:eastAsia="宋体" w:cs="宋体"/>
                <w:i w:val="0"/>
                <w:color w:val="000000"/>
                <w:kern w:val="0"/>
                <w:sz w:val="24"/>
                <w:szCs w:val="24"/>
                <w:u w:val="none"/>
                <w:lang w:val="en-US" w:eastAsia="zh-CN" w:bidi="ar"/>
              </w:rPr>
            </w:pPr>
            <w:r>
              <w:rPr>
                <w:rFonts w:ascii="宋体" w:hAnsi="宋体" w:eastAsia="宋体" w:cs="宋体"/>
                <w:color w:val="auto"/>
                <w:sz w:val="24"/>
                <w:szCs w:val="24"/>
              </w:rPr>
              <w:t>未获得许可，不得从事农林转基因生物的研究、生产、加工和进口</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农业转基因生物入境许可</w:t>
            </w:r>
          </w:p>
          <w:p>
            <w:pPr>
              <w:spacing w:after="0" w:line="229" w:lineRule="exact"/>
              <w:ind w:left="40" w:leftChars="0"/>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sz w:val="21"/>
                <w:szCs w:val="21"/>
              </w:rPr>
              <w:t>农业转基因生物生产与加工许可</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从事农业转基因生物研究、试验应报告或经过批准</w:t>
            </w:r>
          </w:p>
          <w:p>
            <w:pPr>
              <w:spacing w:after="0" w:line="229" w:lineRule="exact"/>
              <w:ind w:left="40" w:leftChars="0"/>
              <w:rPr>
                <w:rFonts w:hint="eastAsia" w:ascii="宋体" w:hAnsi="宋体" w:eastAsia="宋体" w:cs="宋体"/>
                <w:i w:val="0"/>
                <w:color w:val="000000"/>
                <w:kern w:val="0"/>
                <w:sz w:val="21"/>
                <w:szCs w:val="21"/>
                <w:u w:val="none"/>
                <w:lang w:val="en-US" w:eastAsia="zh-CN" w:bidi="ar"/>
              </w:rPr>
            </w:pPr>
            <w:r>
              <w:rPr>
                <w:rFonts w:ascii="宋体" w:hAnsi="宋体" w:eastAsia="宋体" w:cs="宋体"/>
                <w:color w:val="auto"/>
                <w:sz w:val="21"/>
                <w:szCs w:val="21"/>
              </w:rPr>
              <w:t>开展林木转基因工程活动审批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4</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60"/>
              <w:rPr>
                <w:rFonts w:ascii="宋体" w:hAnsi="宋体" w:eastAsia="宋体" w:cs="宋体"/>
                <w:color w:val="auto"/>
                <w:sz w:val="24"/>
                <w:szCs w:val="24"/>
              </w:rPr>
            </w:pPr>
            <w:r>
              <w:rPr>
                <w:rFonts w:ascii="宋体" w:hAnsi="宋体" w:eastAsia="宋体" w:cs="宋体"/>
                <w:color w:val="auto"/>
                <w:sz w:val="24"/>
                <w:szCs w:val="24"/>
              </w:rPr>
              <w:t>未获得许可，不得从事种畜</w:t>
            </w:r>
          </w:p>
          <w:p>
            <w:pPr>
              <w:spacing w:after="0" w:line="274" w:lineRule="exact"/>
              <w:ind w:left="60"/>
              <w:rPr>
                <w:color w:val="auto"/>
                <w:sz w:val="20"/>
                <w:szCs w:val="20"/>
              </w:rPr>
            </w:pPr>
            <w:r>
              <w:rPr>
                <w:rFonts w:ascii="宋体" w:hAnsi="宋体" w:eastAsia="宋体" w:cs="宋体"/>
                <w:color w:val="auto"/>
                <w:sz w:val="24"/>
                <w:szCs w:val="24"/>
              </w:rPr>
              <w:t>禽等动物遗传材料的生产经</w:t>
            </w:r>
          </w:p>
          <w:p>
            <w:pPr>
              <w:spacing w:after="0" w:line="274" w:lineRule="exact"/>
              <w:rPr>
                <w:rFonts w:ascii="宋体" w:hAnsi="宋体" w:eastAsia="宋体" w:cs="宋体"/>
                <w:color w:val="auto"/>
                <w:sz w:val="24"/>
                <w:szCs w:val="24"/>
              </w:rPr>
            </w:pPr>
            <w:r>
              <w:rPr>
                <w:rFonts w:ascii="宋体" w:hAnsi="宋体" w:eastAsia="宋体" w:cs="宋体"/>
                <w:color w:val="auto"/>
                <w:sz w:val="24"/>
                <w:szCs w:val="24"/>
              </w:rPr>
              <w:t>营</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种畜禽、畜禽冷冻精液、胚胎或者其他遗传材料的生产经营许可或审批</w:t>
            </w:r>
          </w:p>
          <w:p>
            <w:pPr>
              <w:spacing w:after="0" w:line="229" w:lineRule="exact"/>
              <w:ind w:left="40"/>
              <w:rPr>
                <w:color w:val="auto"/>
                <w:sz w:val="21"/>
                <w:szCs w:val="21"/>
              </w:rPr>
            </w:pPr>
            <w:r>
              <w:rPr>
                <w:rFonts w:ascii="宋体" w:hAnsi="宋体" w:eastAsia="宋体" w:cs="宋体"/>
                <w:color w:val="auto"/>
                <w:sz w:val="21"/>
                <w:szCs w:val="21"/>
              </w:rPr>
              <w:t>跨省引进乳用动物、种用动物及其精液、胚胎、种蛋检疫审批</w:t>
            </w:r>
          </w:p>
          <w:p>
            <w:pPr>
              <w:spacing w:after="0" w:line="229" w:lineRule="exact"/>
              <w:ind w:left="40"/>
              <w:rPr>
                <w:color w:val="auto"/>
                <w:sz w:val="21"/>
                <w:szCs w:val="21"/>
              </w:rPr>
            </w:pPr>
            <w:r>
              <w:rPr>
                <w:rFonts w:ascii="宋体" w:hAnsi="宋体" w:eastAsia="宋体" w:cs="宋体"/>
                <w:color w:val="auto"/>
                <w:sz w:val="21"/>
                <w:szCs w:val="21"/>
              </w:rPr>
              <w:t>水产苗种、转基因水产苗种生产经营许可，重要水产苗种进出口许可</w:t>
            </w:r>
          </w:p>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从境外引进畜禽、蜂、蚕遗传资源，向境外输出或在境内与境外机构、个人合作研究利用列入保护名录的畜禽、蜂、蚕遗传资源审批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蚕种生产、储存、经营许</w:t>
            </w:r>
          </w:p>
          <w:p>
            <w:pPr>
              <w:spacing w:after="0"/>
              <w:rPr>
                <w:rFonts w:hint="default" w:ascii="Calibri" w:hAnsi="Calibri" w:eastAsia="宋体" w:cs="Calibri"/>
                <w:i w:val="0"/>
                <w:color w:val="000000"/>
                <w:sz w:val="24"/>
                <w:szCs w:val="24"/>
                <w:u w:val="none"/>
              </w:rPr>
            </w:pPr>
            <w:r>
              <w:rPr>
                <w:rFonts w:ascii="宋体" w:hAnsi="宋体" w:eastAsia="宋体" w:cs="宋体"/>
                <w:color w:val="auto"/>
                <w:sz w:val="20"/>
                <w:szCs w:val="20"/>
              </w:rPr>
              <w:t>可（四川）</w:t>
            </w: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5</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rPr>
                <w:rFonts w:ascii="宋体" w:hAnsi="宋体" w:eastAsia="宋体" w:cs="宋体"/>
                <w:color w:val="auto"/>
                <w:sz w:val="24"/>
                <w:szCs w:val="24"/>
              </w:rPr>
            </w:pPr>
            <w:r>
              <w:rPr>
                <w:rFonts w:ascii="宋体" w:hAnsi="宋体" w:eastAsia="宋体" w:cs="宋体"/>
                <w:color w:val="auto"/>
                <w:sz w:val="24"/>
                <w:szCs w:val="24"/>
              </w:rPr>
              <w:t>未获得许可，不得从事特定</w:t>
            </w:r>
          </w:p>
          <w:p>
            <w:pPr>
              <w:spacing w:after="0" w:line="274" w:lineRule="exact"/>
              <w:ind w:left="40"/>
              <w:rPr>
                <w:color w:val="auto"/>
                <w:sz w:val="20"/>
                <w:szCs w:val="20"/>
              </w:rPr>
            </w:pPr>
            <w:r>
              <w:rPr>
                <w:rFonts w:ascii="宋体" w:hAnsi="宋体" w:eastAsia="宋体" w:cs="宋体"/>
                <w:color w:val="auto"/>
                <w:sz w:val="24"/>
                <w:szCs w:val="24"/>
              </w:rPr>
              <w:t>渔业养殖、捕捞及相关生产</w:t>
            </w:r>
          </w:p>
          <w:p>
            <w:pPr>
              <w:spacing w:after="0" w:line="274" w:lineRule="exact"/>
              <w:ind w:left="60" w:leftChars="0"/>
              <w:rPr>
                <w:rFonts w:ascii="宋体" w:hAnsi="宋体" w:eastAsia="宋体" w:cs="宋体"/>
                <w:color w:val="auto"/>
                <w:sz w:val="24"/>
                <w:szCs w:val="24"/>
              </w:rPr>
            </w:pPr>
            <w:r>
              <w:rPr>
                <w:rFonts w:ascii="宋体" w:hAnsi="宋体" w:eastAsia="宋体" w:cs="宋体"/>
                <w:color w:val="auto"/>
                <w:sz w:val="24"/>
                <w:szCs w:val="24"/>
              </w:rPr>
              <w:t>经营活动</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color w:val="auto"/>
                <w:sz w:val="21"/>
                <w:szCs w:val="21"/>
              </w:rPr>
            </w:pPr>
            <w:r>
              <w:rPr>
                <w:rFonts w:ascii="宋体" w:hAnsi="宋体" w:eastAsia="宋体" w:cs="宋体"/>
                <w:color w:val="auto"/>
                <w:sz w:val="21"/>
                <w:szCs w:val="21"/>
              </w:rPr>
              <w:t>渔业捕捞活动许可，渔船和企业到公海或他国管辖海域从事渔业生产许可，养殖、科研等特殊需要在禁渔期、禁渔区作业或捕捞名贵水生动物审批</w:t>
            </w:r>
          </w:p>
          <w:p>
            <w:pPr>
              <w:spacing w:after="0" w:line="229" w:lineRule="exact"/>
              <w:ind w:left="40"/>
              <w:rPr>
                <w:color w:val="auto"/>
                <w:sz w:val="21"/>
                <w:szCs w:val="21"/>
              </w:rPr>
            </w:pPr>
            <w:r>
              <w:rPr>
                <w:rFonts w:ascii="宋体" w:hAnsi="宋体" w:eastAsia="宋体" w:cs="宋体"/>
                <w:color w:val="auto"/>
                <w:sz w:val="21"/>
                <w:szCs w:val="21"/>
              </w:rPr>
              <w:t>使用船网工具进行捕捞需通过控制指标审批</w:t>
            </w:r>
          </w:p>
          <w:p>
            <w:pPr>
              <w:spacing w:after="0" w:line="229" w:lineRule="exact"/>
              <w:ind w:left="40"/>
              <w:rPr>
                <w:color w:val="auto"/>
                <w:sz w:val="21"/>
                <w:szCs w:val="21"/>
              </w:rPr>
            </w:pPr>
            <w:r>
              <w:rPr>
                <w:rFonts w:ascii="宋体" w:hAnsi="宋体" w:eastAsia="宋体" w:cs="宋体"/>
                <w:color w:val="auto"/>
                <w:sz w:val="21"/>
                <w:szCs w:val="21"/>
              </w:rPr>
              <w:t>使用全民所有的水域、滩涂从事养殖生产许可</w:t>
            </w:r>
          </w:p>
          <w:p>
            <w:pPr>
              <w:spacing w:after="0" w:line="229" w:lineRule="exact"/>
              <w:ind w:left="40"/>
              <w:rPr>
                <w:color w:val="auto"/>
                <w:sz w:val="21"/>
                <w:szCs w:val="21"/>
              </w:rPr>
            </w:pPr>
            <w:r>
              <w:rPr>
                <w:rFonts w:ascii="宋体" w:hAnsi="宋体" w:eastAsia="宋体" w:cs="宋体"/>
                <w:color w:val="auto"/>
                <w:sz w:val="21"/>
                <w:szCs w:val="21"/>
              </w:rPr>
              <w:t>捕捞有重要经济价值的水生动物苗种或者禁捕的怀卵亲体审批</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建造人工鱼礁审批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6</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60"/>
              <w:rPr>
                <w:rFonts w:ascii="宋体" w:hAnsi="宋体" w:eastAsia="宋体" w:cs="宋体"/>
                <w:color w:val="auto"/>
                <w:sz w:val="24"/>
                <w:szCs w:val="24"/>
              </w:rPr>
            </w:pPr>
            <w:r>
              <w:rPr>
                <w:rFonts w:ascii="宋体" w:hAnsi="宋体" w:eastAsia="宋体" w:cs="宋体"/>
                <w:color w:val="auto"/>
                <w:sz w:val="24"/>
                <w:szCs w:val="24"/>
              </w:rPr>
              <w:t>未获得许可，不得从事动物</w:t>
            </w:r>
          </w:p>
          <w:p>
            <w:pPr>
              <w:spacing w:after="0" w:line="274" w:lineRule="exact"/>
              <w:ind w:left="60"/>
              <w:rPr>
                <w:color w:val="auto"/>
                <w:sz w:val="20"/>
                <w:szCs w:val="20"/>
              </w:rPr>
            </w:pPr>
            <w:r>
              <w:rPr>
                <w:rFonts w:ascii="宋体" w:hAnsi="宋体" w:eastAsia="宋体" w:cs="宋体"/>
                <w:color w:val="auto"/>
                <w:sz w:val="24"/>
                <w:szCs w:val="24"/>
              </w:rPr>
              <w:t>诊疗、进出境检疫及引种试</w:t>
            </w:r>
          </w:p>
          <w:p>
            <w:pPr>
              <w:spacing w:after="0" w:line="274" w:lineRule="exact"/>
              <w:ind w:left="60" w:leftChars="0"/>
              <w:rPr>
                <w:rFonts w:ascii="宋体" w:hAnsi="宋体" w:eastAsia="宋体" w:cs="宋体"/>
                <w:color w:val="auto"/>
                <w:sz w:val="24"/>
                <w:szCs w:val="24"/>
              </w:rPr>
            </w:pPr>
            <w:r>
              <w:rPr>
                <w:rFonts w:ascii="宋体" w:hAnsi="宋体" w:eastAsia="宋体" w:cs="宋体"/>
                <w:color w:val="auto"/>
                <w:sz w:val="24"/>
                <w:szCs w:val="24"/>
              </w:rPr>
              <w:t>种等业务</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动物诊疗许可</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松材线虫病疫木加工板材定点加工企业审批</w:t>
            </w:r>
          </w:p>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从事进出境检疫处理业务单位认定</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普及型国外引种试种苗圃资格认定</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730"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7</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60"/>
              <w:rPr>
                <w:rFonts w:ascii="宋体" w:hAnsi="宋体" w:eastAsia="宋体" w:cs="宋体"/>
                <w:color w:val="auto"/>
                <w:sz w:val="24"/>
                <w:szCs w:val="24"/>
              </w:rPr>
            </w:pPr>
            <w:r>
              <w:rPr>
                <w:rFonts w:ascii="宋体" w:hAnsi="宋体" w:eastAsia="宋体" w:cs="宋体"/>
                <w:color w:val="auto"/>
                <w:sz w:val="24"/>
                <w:szCs w:val="24"/>
              </w:rPr>
              <w:t>未获得许可，不得从事农药</w:t>
            </w:r>
          </w:p>
          <w:p>
            <w:pPr>
              <w:spacing w:after="0" w:line="274" w:lineRule="exact"/>
              <w:ind w:left="60" w:leftChars="0"/>
              <w:rPr>
                <w:rFonts w:ascii="宋体" w:hAnsi="宋体" w:eastAsia="宋体" w:cs="宋体"/>
                <w:color w:val="auto"/>
                <w:sz w:val="24"/>
                <w:szCs w:val="24"/>
              </w:rPr>
            </w:pPr>
            <w:r>
              <w:rPr>
                <w:rFonts w:ascii="宋体" w:hAnsi="宋体" w:eastAsia="宋体" w:cs="宋体"/>
                <w:color w:val="auto"/>
                <w:sz w:val="24"/>
                <w:szCs w:val="24"/>
              </w:rPr>
              <w:t>的试验、生产和经营</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农药登记许可；农药生产许可；农药经营（卫生用农药除外）许可</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农药登记试验单位认定和新农药登记试验审批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8</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rPr>
                <w:rFonts w:ascii="宋体" w:hAnsi="宋体" w:eastAsia="宋体" w:cs="宋体"/>
                <w:color w:val="auto"/>
                <w:sz w:val="24"/>
                <w:szCs w:val="24"/>
              </w:rPr>
            </w:pPr>
            <w:r>
              <w:rPr>
                <w:rFonts w:ascii="宋体" w:hAnsi="宋体" w:eastAsia="宋体" w:cs="宋体"/>
                <w:color w:val="auto"/>
                <w:sz w:val="24"/>
                <w:szCs w:val="24"/>
              </w:rPr>
              <w:t>未获得许可或检疫，不得从</w:t>
            </w:r>
          </w:p>
          <w:p>
            <w:pPr>
              <w:spacing w:after="0" w:line="274" w:lineRule="exact"/>
              <w:ind w:left="40" w:leftChars="0"/>
              <w:rPr>
                <w:rFonts w:ascii="宋体" w:hAnsi="宋体" w:eastAsia="宋体" w:cs="宋体"/>
                <w:color w:val="auto"/>
                <w:sz w:val="24"/>
                <w:szCs w:val="24"/>
              </w:rPr>
            </w:pPr>
            <w:r>
              <w:rPr>
                <w:rFonts w:ascii="宋体" w:hAnsi="宋体" w:eastAsia="宋体" w:cs="宋体"/>
                <w:color w:val="auto"/>
                <w:sz w:val="24"/>
                <w:szCs w:val="24"/>
              </w:rPr>
              <w:t>事动物饲养、屠宰和经营</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color w:val="auto"/>
                <w:sz w:val="21"/>
                <w:szCs w:val="21"/>
              </w:rPr>
            </w:pPr>
            <w:r>
              <w:rPr>
                <w:rFonts w:ascii="宋体" w:hAnsi="宋体" w:eastAsia="宋体" w:cs="宋体"/>
                <w:color w:val="auto"/>
                <w:sz w:val="21"/>
                <w:szCs w:val="21"/>
              </w:rPr>
              <w:t>设立动物饲养场（养殖小区）和隔离场所，设立动物屠宰加工场所、生猪定点屠宰厂（场）以及动物和动物产品无害化处理场所审批</w:t>
            </w:r>
          </w:p>
          <w:p>
            <w:pPr>
              <w:spacing w:after="0" w:line="229" w:lineRule="exact"/>
              <w:ind w:left="40"/>
              <w:rPr>
                <w:color w:val="auto"/>
                <w:sz w:val="21"/>
                <w:szCs w:val="21"/>
              </w:rPr>
            </w:pPr>
            <w:r>
              <w:rPr>
                <w:rFonts w:ascii="宋体" w:hAnsi="宋体" w:eastAsia="宋体" w:cs="宋体"/>
                <w:color w:val="auto"/>
                <w:sz w:val="21"/>
                <w:szCs w:val="21"/>
              </w:rPr>
              <w:t>屠宰、出售或者运输动物，以及出售或者运输动物产品检疫</w:t>
            </w:r>
          </w:p>
          <w:p>
            <w:pPr>
              <w:spacing w:after="0" w:line="229" w:lineRule="exact"/>
              <w:ind w:left="40" w:leftChars="0"/>
              <w:rPr>
                <w:rFonts w:ascii="宋体" w:hAnsi="宋体" w:eastAsia="宋体" w:cs="宋体"/>
                <w:color w:val="auto"/>
                <w:sz w:val="21"/>
                <w:szCs w:val="21"/>
              </w:rPr>
            </w:pPr>
            <w:r>
              <w:rPr>
                <w:rFonts w:ascii="宋体" w:hAnsi="宋体" w:eastAsia="宋体" w:cs="宋体"/>
                <w:color w:val="auto"/>
                <w:sz w:val="21"/>
                <w:szCs w:val="21"/>
              </w:rPr>
              <w:t>饲料、饲料添加剂（含新饲料、新饲料添加剂）生产许可</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eastAsia"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9</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rPr>
                <w:rFonts w:ascii="宋体" w:hAnsi="宋体" w:eastAsia="宋体" w:cs="宋体"/>
                <w:color w:val="auto"/>
                <w:sz w:val="24"/>
                <w:szCs w:val="24"/>
              </w:rPr>
            </w:pPr>
            <w:r>
              <w:rPr>
                <w:rFonts w:ascii="宋体" w:hAnsi="宋体" w:eastAsia="宋体" w:cs="宋体"/>
                <w:color w:val="auto"/>
                <w:sz w:val="24"/>
                <w:szCs w:val="24"/>
              </w:rPr>
              <w:t>未获得许可，不得从事兽药</w:t>
            </w:r>
          </w:p>
          <w:p>
            <w:pPr>
              <w:spacing w:after="0" w:line="274" w:lineRule="exact"/>
              <w:ind w:left="40"/>
              <w:rPr>
                <w:color w:val="auto"/>
                <w:sz w:val="20"/>
                <w:szCs w:val="20"/>
              </w:rPr>
            </w:pPr>
            <w:r>
              <w:rPr>
                <w:rFonts w:ascii="宋体" w:hAnsi="宋体" w:eastAsia="宋体" w:cs="宋体"/>
                <w:color w:val="auto"/>
                <w:sz w:val="24"/>
                <w:szCs w:val="24"/>
              </w:rPr>
              <w:t>及兽用生物制品的生产、使</w:t>
            </w:r>
          </w:p>
          <w:p>
            <w:pPr>
              <w:spacing w:after="0" w:line="270" w:lineRule="exact"/>
              <w:ind w:left="40" w:leftChars="0"/>
              <w:rPr>
                <w:rFonts w:ascii="宋体" w:hAnsi="宋体" w:eastAsia="宋体" w:cs="宋体"/>
                <w:color w:val="auto"/>
                <w:sz w:val="24"/>
                <w:szCs w:val="24"/>
              </w:rPr>
            </w:pPr>
            <w:r>
              <w:rPr>
                <w:rFonts w:ascii="宋体" w:hAnsi="宋体" w:eastAsia="宋体" w:cs="宋体"/>
                <w:color w:val="auto"/>
                <w:sz w:val="24"/>
                <w:szCs w:val="24"/>
              </w:rPr>
              <w:t>用和进出口</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兽药生产、经营许可；强制免疫所需兽用生物制品的指定生产</w:t>
            </w:r>
          </w:p>
          <w:p>
            <w:pPr>
              <w:spacing w:after="0" w:line="229" w:lineRule="exact"/>
              <w:ind w:left="40"/>
              <w:rPr>
                <w:color w:val="auto"/>
                <w:sz w:val="21"/>
                <w:szCs w:val="21"/>
              </w:rPr>
            </w:pPr>
            <w:r>
              <w:rPr>
                <w:rFonts w:ascii="宋体" w:hAnsi="宋体" w:eastAsia="宋体" w:cs="宋体"/>
                <w:color w:val="auto"/>
                <w:sz w:val="21"/>
                <w:szCs w:val="21"/>
              </w:rPr>
              <w:t>兽药产品批准文号核发及标签、说明书审批</w:t>
            </w:r>
          </w:p>
          <w:p>
            <w:pPr>
              <w:spacing w:after="0" w:line="229" w:lineRule="exact"/>
              <w:ind w:left="40"/>
              <w:rPr>
                <w:color w:val="auto"/>
                <w:sz w:val="21"/>
                <w:szCs w:val="21"/>
              </w:rPr>
            </w:pPr>
            <w:r>
              <w:rPr>
                <w:rFonts w:ascii="宋体" w:hAnsi="宋体" w:eastAsia="宋体" w:cs="宋体"/>
                <w:color w:val="auto"/>
                <w:sz w:val="21"/>
                <w:szCs w:val="21"/>
              </w:rPr>
              <w:t>兽医微生物菌（毒、虫）种进出口和使用审批</w:t>
            </w:r>
          </w:p>
          <w:p>
            <w:pPr>
              <w:spacing w:after="0" w:line="229" w:lineRule="exact"/>
              <w:ind w:left="40"/>
              <w:rPr>
                <w:color w:val="auto"/>
                <w:sz w:val="21"/>
                <w:szCs w:val="21"/>
              </w:rPr>
            </w:pPr>
            <w:r>
              <w:rPr>
                <w:rFonts w:ascii="宋体" w:hAnsi="宋体" w:eastAsia="宋体" w:cs="宋体"/>
                <w:color w:val="auto"/>
                <w:sz w:val="21"/>
                <w:szCs w:val="21"/>
              </w:rPr>
              <w:t>向中国出口兽药注册和兽药进口审批</w:t>
            </w:r>
          </w:p>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新兽药注册、研制新兽药使用一类病原微生物，新兽药（新兽用生物制品）临床试验审批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hint="default" w:ascii="Calibri" w:hAnsi="Calibri" w:eastAsia="宋体" w:cs="Calibri"/>
                <w:i w:val="0"/>
                <w:color w:val="000000"/>
                <w:sz w:val="24"/>
                <w:szCs w:val="24"/>
                <w:u w:val="none"/>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default"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10</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rPr>
                <w:rFonts w:ascii="宋体" w:hAnsi="宋体" w:eastAsia="宋体" w:cs="宋体"/>
                <w:color w:val="auto"/>
                <w:sz w:val="24"/>
                <w:szCs w:val="24"/>
              </w:rPr>
            </w:pPr>
            <w:r>
              <w:rPr>
                <w:rFonts w:ascii="宋体" w:hAnsi="宋体" w:eastAsia="宋体" w:cs="宋体"/>
                <w:color w:val="auto"/>
                <w:sz w:val="24"/>
                <w:szCs w:val="24"/>
              </w:rPr>
              <w:t>未获得许可或履行法定程</w:t>
            </w:r>
          </w:p>
          <w:p>
            <w:pPr>
              <w:spacing w:after="0" w:line="274" w:lineRule="exact"/>
              <w:ind w:left="40"/>
              <w:rPr>
                <w:color w:val="auto"/>
                <w:sz w:val="20"/>
                <w:szCs w:val="20"/>
              </w:rPr>
            </w:pPr>
            <w:r>
              <w:rPr>
                <w:rFonts w:ascii="宋体" w:hAnsi="宋体" w:eastAsia="宋体" w:cs="宋体"/>
                <w:color w:val="auto"/>
                <w:sz w:val="24"/>
                <w:szCs w:val="24"/>
              </w:rPr>
              <w:t>序，不得从事船舶和渔船的</w:t>
            </w:r>
          </w:p>
          <w:p>
            <w:pPr>
              <w:spacing w:after="0" w:line="274" w:lineRule="exact"/>
              <w:ind w:left="40"/>
              <w:rPr>
                <w:color w:val="auto"/>
                <w:sz w:val="20"/>
                <w:szCs w:val="20"/>
              </w:rPr>
            </w:pPr>
            <w:r>
              <w:rPr>
                <w:rFonts w:ascii="宋体" w:hAnsi="宋体" w:eastAsia="宋体" w:cs="宋体"/>
                <w:color w:val="auto"/>
                <w:sz w:val="24"/>
                <w:szCs w:val="24"/>
              </w:rPr>
              <w:t>制造、更新、购置、进口和</w:t>
            </w:r>
          </w:p>
          <w:p>
            <w:pPr>
              <w:spacing w:after="0" w:line="274" w:lineRule="exact"/>
              <w:ind w:left="40" w:leftChars="0"/>
              <w:rPr>
                <w:rFonts w:ascii="宋体" w:hAnsi="宋体" w:eastAsia="宋体" w:cs="宋体"/>
                <w:color w:val="auto"/>
                <w:sz w:val="24"/>
                <w:szCs w:val="24"/>
              </w:rPr>
            </w:pPr>
            <w:r>
              <w:rPr>
                <w:rFonts w:ascii="宋体" w:hAnsi="宋体" w:eastAsia="宋体" w:cs="宋体"/>
                <w:color w:val="auto"/>
                <w:sz w:val="24"/>
                <w:szCs w:val="24"/>
              </w:rPr>
              <w:t>营运</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渔业船舶登记审批及制造、更新改造、购置、进口渔业船舶审批</w:t>
            </w:r>
          </w:p>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制造、更新改造、购置、进口的从事捕捞作业的船舶强制检验</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船舶设计、修造、修理资</w:t>
            </w:r>
          </w:p>
          <w:p>
            <w:pPr>
              <w:spacing w:after="0"/>
              <w:rPr>
                <w:rFonts w:hint="default" w:ascii="Calibri" w:hAnsi="Calibri" w:eastAsia="宋体" w:cs="Calibri"/>
                <w:i w:val="0"/>
                <w:color w:val="000000"/>
                <w:sz w:val="24"/>
                <w:szCs w:val="24"/>
                <w:u w:val="none"/>
              </w:rPr>
            </w:pPr>
            <w:r>
              <w:rPr>
                <w:rFonts w:ascii="宋体" w:hAnsi="宋体" w:eastAsia="宋体" w:cs="宋体"/>
                <w:color w:val="auto"/>
                <w:sz w:val="20"/>
                <w:szCs w:val="20"/>
              </w:rPr>
              <w:t>质许可（各有关地区）</w:t>
            </w:r>
          </w:p>
        </w:tc>
      </w:tr>
      <w:tr>
        <w:tblPrEx>
          <w:shd w:val="clear" w:color="auto" w:fill="auto"/>
          <w:tblLayout w:type="fixed"/>
          <w:tblCellMar>
            <w:top w:w="0" w:type="dxa"/>
            <w:left w:w="0" w:type="dxa"/>
            <w:bottom w:w="0" w:type="dxa"/>
            <w:right w:w="0" w:type="dxa"/>
          </w:tblCellMar>
        </w:tblPrEx>
        <w:trPr>
          <w:gridAfter w:val="1"/>
          <w:wAfter w:w="91" w:type="dxa"/>
          <w:trHeight w:val="723"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default"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11</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40"/>
              <w:rPr>
                <w:rFonts w:ascii="宋体" w:hAnsi="宋体" w:eastAsia="宋体" w:cs="宋体"/>
                <w:color w:val="auto"/>
                <w:sz w:val="24"/>
                <w:szCs w:val="24"/>
              </w:rPr>
            </w:pPr>
            <w:r>
              <w:rPr>
                <w:rFonts w:ascii="宋体" w:hAnsi="宋体" w:eastAsia="宋体" w:cs="宋体"/>
                <w:color w:val="auto"/>
                <w:sz w:val="24"/>
                <w:szCs w:val="24"/>
              </w:rPr>
              <w:t>未通过检疫，动植物及产品</w:t>
            </w:r>
          </w:p>
          <w:p>
            <w:pPr>
              <w:spacing w:after="0" w:line="274" w:lineRule="exact"/>
              <w:ind w:left="40" w:leftChars="0"/>
              <w:rPr>
                <w:rFonts w:ascii="宋体" w:hAnsi="宋体" w:eastAsia="宋体" w:cs="宋体"/>
                <w:color w:val="auto"/>
                <w:sz w:val="24"/>
                <w:szCs w:val="24"/>
              </w:rPr>
            </w:pPr>
            <w:r>
              <w:rPr>
                <w:rFonts w:ascii="宋体" w:hAnsi="宋体" w:eastAsia="宋体" w:cs="宋体"/>
                <w:color w:val="auto"/>
                <w:sz w:val="24"/>
                <w:szCs w:val="24"/>
              </w:rPr>
              <w:t>不得进境（过境）</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ind w:left="40"/>
              <w:rPr>
                <w:rFonts w:ascii="宋体" w:hAnsi="宋体" w:eastAsia="宋体" w:cs="宋体"/>
                <w:color w:val="auto"/>
                <w:sz w:val="21"/>
                <w:szCs w:val="21"/>
              </w:rPr>
            </w:pPr>
            <w:r>
              <w:rPr>
                <w:rFonts w:ascii="宋体" w:hAnsi="宋体" w:eastAsia="宋体" w:cs="宋体"/>
                <w:color w:val="auto"/>
                <w:sz w:val="21"/>
                <w:szCs w:val="21"/>
              </w:rPr>
              <w:t>进境（过境）动植物及产品检疫审批</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ascii="宋体" w:hAnsi="宋体" w:eastAsia="宋体" w:cs="宋体"/>
                <w:color w:val="auto"/>
                <w:sz w:val="20"/>
                <w:szCs w:val="20"/>
              </w:rPr>
            </w:pPr>
          </w:p>
        </w:tc>
      </w:tr>
      <w:tr>
        <w:tblPrEx>
          <w:shd w:val="clear" w:color="auto" w:fill="auto"/>
          <w:tblLayout w:type="fixed"/>
          <w:tblCellMar>
            <w:top w:w="0" w:type="dxa"/>
            <w:left w:w="0" w:type="dxa"/>
            <w:bottom w:w="0" w:type="dxa"/>
            <w:right w:w="0" w:type="dxa"/>
          </w:tblCellMar>
        </w:tblPrEx>
        <w:trPr>
          <w:gridAfter w:val="1"/>
          <w:wAfter w:w="91" w:type="dxa"/>
          <w:trHeight w:val="1327" w:hRule="atLeast"/>
        </w:trPr>
        <w:tc>
          <w:tcPr>
            <w:tcW w:w="124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bottom"/>
          </w:tcPr>
          <w:p>
            <w:pPr>
              <w:spacing w:after="0"/>
              <w:jc w:val="center"/>
              <w:rPr>
                <w:rFonts w:hint="default" w:ascii="Times New Roman" w:hAnsi="Times New Roman" w:eastAsia="宋体" w:cs="Times New Roman"/>
                <w:color w:val="auto"/>
                <w:w w:val="99"/>
                <w:sz w:val="24"/>
                <w:szCs w:val="24"/>
                <w:lang w:val="en-US" w:eastAsia="zh-CN"/>
              </w:rPr>
            </w:pPr>
            <w:r>
              <w:rPr>
                <w:rFonts w:hint="eastAsia" w:ascii="Times New Roman" w:hAnsi="Times New Roman" w:eastAsia="宋体" w:cs="Times New Roman"/>
                <w:color w:val="auto"/>
                <w:w w:val="99"/>
                <w:sz w:val="24"/>
                <w:szCs w:val="24"/>
                <w:lang w:val="en-US" w:eastAsia="zh-CN"/>
              </w:rPr>
              <w:t>12</w:t>
            </w:r>
          </w:p>
        </w:tc>
        <w:tc>
          <w:tcPr>
            <w:tcW w:w="3036" w:type="dxa"/>
            <w:gridSpan w:val="2"/>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74" w:lineRule="exact"/>
              <w:ind w:left="60"/>
              <w:rPr>
                <w:rFonts w:ascii="宋体" w:hAnsi="宋体" w:eastAsia="宋体" w:cs="宋体"/>
                <w:color w:val="auto"/>
                <w:sz w:val="24"/>
                <w:szCs w:val="24"/>
              </w:rPr>
            </w:pPr>
            <w:r>
              <w:rPr>
                <w:rFonts w:ascii="宋体" w:hAnsi="宋体" w:eastAsia="宋体" w:cs="宋体"/>
                <w:color w:val="auto"/>
                <w:sz w:val="24"/>
                <w:szCs w:val="24"/>
              </w:rPr>
              <w:t>未获得许可，不得开办特定</w:t>
            </w:r>
          </w:p>
          <w:p>
            <w:pPr>
              <w:spacing w:after="0" w:line="274" w:lineRule="exact"/>
              <w:ind w:left="60"/>
              <w:rPr>
                <w:color w:val="auto"/>
                <w:sz w:val="20"/>
                <w:szCs w:val="20"/>
              </w:rPr>
            </w:pPr>
            <w:r>
              <w:rPr>
                <w:rFonts w:ascii="宋体" w:hAnsi="宋体" w:eastAsia="宋体" w:cs="宋体"/>
                <w:color w:val="auto"/>
                <w:sz w:val="24"/>
                <w:szCs w:val="24"/>
              </w:rPr>
              <w:t>类别驾驶培训学校或驾驶培</w:t>
            </w:r>
          </w:p>
          <w:p>
            <w:pPr>
              <w:spacing w:after="0" w:line="274" w:lineRule="exact"/>
              <w:rPr>
                <w:rFonts w:hint="eastAsia" w:ascii="宋体" w:hAnsi="宋体" w:eastAsia="宋体" w:cs="宋体"/>
                <w:color w:val="auto"/>
                <w:sz w:val="24"/>
                <w:szCs w:val="24"/>
                <w:lang w:val="en-US" w:eastAsia="zh-CN"/>
              </w:rPr>
            </w:pPr>
            <w:r>
              <w:rPr>
                <w:rFonts w:ascii="宋体" w:hAnsi="宋体" w:eastAsia="宋体" w:cs="宋体"/>
                <w:color w:val="auto"/>
                <w:sz w:val="24"/>
                <w:szCs w:val="24"/>
              </w:rPr>
              <w:t>训班</w:t>
            </w:r>
          </w:p>
        </w:tc>
        <w:tc>
          <w:tcPr>
            <w:tcW w:w="7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line="229" w:lineRule="exact"/>
              <w:rPr>
                <w:rFonts w:ascii="宋体" w:hAnsi="宋体" w:eastAsia="宋体" w:cs="宋体"/>
                <w:color w:val="auto"/>
                <w:sz w:val="21"/>
                <w:szCs w:val="21"/>
              </w:rPr>
            </w:pPr>
            <w:r>
              <w:rPr>
                <w:rFonts w:ascii="宋体" w:hAnsi="宋体" w:eastAsia="宋体" w:cs="宋体"/>
                <w:color w:val="auto"/>
                <w:sz w:val="21"/>
                <w:szCs w:val="21"/>
              </w:rPr>
              <w:t>开办专门的拖拉机驾驶培训学校、驾驶培训班应取得相关资格</w:t>
            </w:r>
          </w:p>
        </w:tc>
        <w:tc>
          <w:tcPr>
            <w:tcW w:w="280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bottom"/>
          </w:tcPr>
          <w:p>
            <w:pPr>
              <w:spacing w:after="0"/>
              <w:rPr>
                <w:rFonts w:ascii="宋体" w:hAnsi="宋体" w:eastAsia="宋体" w:cs="宋体"/>
                <w:color w:val="auto"/>
                <w:sz w:val="20"/>
                <w:szCs w:val="20"/>
              </w:rPr>
            </w:pPr>
          </w:p>
        </w:tc>
      </w:tr>
    </w:tbl>
    <w:p>
      <w:pPr>
        <w:spacing w:after="0" w:line="97" w:lineRule="exact"/>
        <w:rPr>
          <w:color w:val="auto"/>
          <w:sz w:val="20"/>
          <w:szCs w:val="20"/>
        </w:rPr>
      </w:pPr>
    </w:p>
    <w:p>
      <w:bookmarkStart w:id="0" w:name="page8"/>
      <w:bookmarkEnd w:id="0"/>
    </w:p>
    <w:p/>
    <w:p/>
    <w:p/>
    <w:p>
      <w:bookmarkStart w:id="1" w:name="_GoBack"/>
      <w:bookmarkEnd w:id="1"/>
    </w:p>
    <w:p/>
    <w:p/>
    <w:p/>
    <w:p/>
    <w:p/>
    <w:p/>
    <w:p/>
    <w:p/>
    <w:p/>
    <w:p>
      <w:pPr>
        <w:spacing w:after="0" w:line="457" w:lineRule="exact"/>
        <w:ind w:right="-19"/>
        <w:jc w:val="center"/>
        <w:rPr>
          <w:color w:val="auto"/>
          <w:sz w:val="20"/>
          <w:szCs w:val="20"/>
        </w:rPr>
      </w:pPr>
      <w:r>
        <w:rPr>
          <w:rFonts w:hint="eastAsia" w:ascii="宋体" w:hAnsi="宋体" w:eastAsia="宋体" w:cs="宋体"/>
          <w:color w:val="auto"/>
          <w:sz w:val="40"/>
          <w:szCs w:val="40"/>
          <w:lang w:eastAsia="zh-CN"/>
        </w:rPr>
        <w:t>遂溪县农业农村局</w:t>
      </w:r>
      <w:r>
        <w:rPr>
          <w:rFonts w:ascii="宋体" w:hAnsi="宋体" w:eastAsia="宋体" w:cs="宋体"/>
          <w:color w:val="auto"/>
          <w:sz w:val="40"/>
          <w:szCs w:val="40"/>
        </w:rPr>
        <w:t>与市场准入相关的禁止性规定</w:t>
      </w:r>
    </w:p>
    <w:p>
      <w:pPr>
        <w:spacing w:after="0" w:line="199" w:lineRule="exact"/>
        <w:rPr>
          <w:color w:val="auto"/>
          <w:sz w:val="20"/>
          <w:szCs w:val="20"/>
        </w:rPr>
      </w:pPr>
    </w:p>
    <w:tbl>
      <w:tblPr>
        <w:tblStyle w:val="4"/>
        <w:tblW w:w="13980" w:type="dxa"/>
        <w:tblInd w:w="10" w:type="dxa"/>
        <w:tblLayout w:type="fixed"/>
        <w:tblCellMar>
          <w:top w:w="0" w:type="dxa"/>
          <w:left w:w="0" w:type="dxa"/>
          <w:bottom w:w="0" w:type="dxa"/>
          <w:right w:w="0" w:type="dxa"/>
        </w:tblCellMar>
      </w:tblPr>
      <w:tblGrid>
        <w:gridCol w:w="1060"/>
        <w:gridCol w:w="7980"/>
        <w:gridCol w:w="4940"/>
      </w:tblGrid>
      <w:tr>
        <w:tblPrEx>
          <w:tblLayout w:type="fixed"/>
          <w:tblCellMar>
            <w:top w:w="0" w:type="dxa"/>
            <w:left w:w="0" w:type="dxa"/>
            <w:bottom w:w="0" w:type="dxa"/>
            <w:right w:w="0" w:type="dxa"/>
          </w:tblCellMar>
        </w:tblPrEx>
        <w:trPr>
          <w:trHeight w:val="450" w:hRule="atLeast"/>
        </w:trPr>
        <w:tc>
          <w:tcPr>
            <w:tcW w:w="1060" w:type="dxa"/>
            <w:tcBorders>
              <w:top w:val="single" w:color="auto" w:sz="8" w:space="0"/>
              <w:left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序号</w:t>
            </w:r>
          </w:p>
        </w:tc>
        <w:tc>
          <w:tcPr>
            <w:tcW w:w="7980" w:type="dxa"/>
            <w:tcBorders>
              <w:top w:val="single" w:color="auto" w:sz="8" w:space="0"/>
              <w:right w:val="single" w:color="auto" w:sz="8" w:space="0"/>
            </w:tcBorders>
            <w:vAlign w:val="bottom"/>
          </w:tcPr>
          <w:p>
            <w:pPr>
              <w:spacing w:after="0" w:line="274" w:lineRule="exact"/>
              <w:ind w:left="3500"/>
              <w:rPr>
                <w:color w:val="auto"/>
                <w:sz w:val="20"/>
                <w:szCs w:val="20"/>
              </w:rPr>
            </w:pPr>
            <w:r>
              <w:rPr>
                <w:rFonts w:ascii="宋体" w:hAnsi="宋体" w:eastAsia="宋体" w:cs="宋体"/>
                <w:b/>
                <w:bCs/>
                <w:color w:val="auto"/>
                <w:sz w:val="24"/>
                <w:szCs w:val="24"/>
              </w:rPr>
              <w:t>禁止措施</w:t>
            </w:r>
          </w:p>
        </w:tc>
        <w:tc>
          <w:tcPr>
            <w:tcW w:w="4940" w:type="dxa"/>
            <w:tcBorders>
              <w:top w:val="single" w:color="auto" w:sz="8" w:space="0"/>
              <w:right w:val="single" w:color="auto" w:sz="8" w:space="0"/>
            </w:tcBorders>
            <w:vAlign w:val="bottom"/>
          </w:tcPr>
          <w:p>
            <w:pPr>
              <w:spacing w:after="0" w:line="274" w:lineRule="exact"/>
              <w:ind w:left="1980"/>
              <w:rPr>
                <w:color w:val="auto"/>
                <w:sz w:val="20"/>
                <w:szCs w:val="20"/>
              </w:rPr>
            </w:pPr>
            <w:r>
              <w:rPr>
                <w:rFonts w:ascii="宋体" w:hAnsi="宋体" w:eastAsia="宋体" w:cs="宋体"/>
                <w:b/>
                <w:bCs/>
                <w:color w:val="auto"/>
                <w:sz w:val="24"/>
                <w:szCs w:val="24"/>
              </w:rPr>
              <w:t>设立依据</w:t>
            </w:r>
          </w:p>
        </w:tc>
      </w:tr>
      <w:tr>
        <w:tblPrEx>
          <w:tblLayout w:type="fixed"/>
          <w:tblCellMar>
            <w:top w:w="0" w:type="dxa"/>
            <w:left w:w="0" w:type="dxa"/>
            <w:bottom w:w="0" w:type="dxa"/>
            <w:right w:w="0" w:type="dxa"/>
          </w:tblCellMar>
        </w:tblPrEx>
        <w:trPr>
          <w:trHeight w:val="450" w:hRule="atLeast"/>
        </w:trPr>
        <w:tc>
          <w:tcPr>
            <w:tcW w:w="1060" w:type="dxa"/>
            <w:tcBorders>
              <w:top w:val="single" w:color="auto" w:sz="8" w:space="0"/>
              <w:left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1</w:t>
            </w:r>
          </w:p>
        </w:tc>
        <w:tc>
          <w:tcPr>
            <w:tcW w:w="7980" w:type="dxa"/>
            <w:tcBorders>
              <w:top w:val="single" w:color="auto" w:sz="8" w:space="0"/>
              <w:right w:val="single" w:color="auto" w:sz="8" w:space="0"/>
            </w:tcBorders>
            <w:vAlign w:val="bottom"/>
          </w:tcPr>
          <w:p>
            <w:pPr>
              <w:spacing w:after="0" w:line="229" w:lineRule="exact"/>
              <w:ind w:left="20"/>
              <w:rPr>
                <w:rFonts w:ascii="宋体" w:hAnsi="宋体" w:eastAsia="宋体" w:cs="宋体"/>
                <w:b/>
                <w:bCs/>
                <w:color w:val="auto"/>
                <w:sz w:val="24"/>
                <w:szCs w:val="24"/>
              </w:rPr>
            </w:pPr>
            <w:r>
              <w:rPr>
                <w:rFonts w:ascii="宋体" w:hAnsi="宋体" w:eastAsia="宋体" w:cs="宋体"/>
                <w:color w:val="auto"/>
                <w:sz w:val="20"/>
                <w:szCs w:val="20"/>
              </w:rPr>
              <w:t>严禁占用永久基本农田挖塘造湖、植树造林、建绿色通道、堆放固体废弃物及其他毁坏基本农田种植条件和破坏基本农田的行为</w:t>
            </w:r>
          </w:p>
        </w:tc>
        <w:tc>
          <w:tcPr>
            <w:tcW w:w="4940" w:type="dxa"/>
            <w:tcBorders>
              <w:top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《中华人民共和国土地管理法》</w:t>
            </w:r>
          </w:p>
          <w:p>
            <w:pPr>
              <w:spacing w:after="0" w:line="229" w:lineRule="exact"/>
              <w:ind w:left="20"/>
              <w:rPr>
                <w:color w:val="auto"/>
                <w:sz w:val="20"/>
                <w:szCs w:val="20"/>
              </w:rPr>
            </w:pPr>
            <w:r>
              <w:rPr>
                <w:rFonts w:ascii="宋体" w:hAnsi="宋体" w:eastAsia="宋体" w:cs="宋体"/>
                <w:color w:val="auto"/>
                <w:sz w:val="20"/>
                <w:szCs w:val="20"/>
              </w:rPr>
              <w:t>《中华人民共和国基本农田保护条例》</w:t>
            </w:r>
          </w:p>
          <w:p>
            <w:pPr>
              <w:spacing w:after="0" w:line="229" w:lineRule="exact"/>
              <w:ind w:left="20"/>
              <w:rPr>
                <w:color w:val="auto"/>
                <w:sz w:val="20"/>
                <w:szCs w:val="20"/>
              </w:rPr>
            </w:pPr>
            <w:r>
              <w:rPr>
                <w:rFonts w:ascii="宋体" w:hAnsi="宋体" w:eastAsia="宋体" w:cs="宋体"/>
                <w:color w:val="auto"/>
                <w:sz w:val="20"/>
                <w:szCs w:val="20"/>
              </w:rPr>
              <w:t>《中共中央 国务院关于加强耕地保护和改进占补平衡</w:t>
            </w:r>
          </w:p>
          <w:p>
            <w:pPr>
              <w:spacing w:after="0" w:line="244" w:lineRule="exact"/>
              <w:ind w:left="20"/>
              <w:rPr>
                <w:color w:val="auto"/>
                <w:sz w:val="20"/>
                <w:szCs w:val="20"/>
              </w:rPr>
            </w:pPr>
            <w:r>
              <w:rPr>
                <w:rFonts w:ascii="宋体" w:hAnsi="宋体" w:eastAsia="宋体" w:cs="宋体"/>
                <w:color w:val="auto"/>
                <w:sz w:val="20"/>
                <w:szCs w:val="20"/>
              </w:rPr>
              <w:t>的意见》（中发〔</w:t>
            </w:r>
            <w:r>
              <w:rPr>
                <w:rFonts w:ascii="Times New Roman" w:hAnsi="Times New Roman" w:eastAsia="Times New Roman" w:cs="Times New Roman"/>
                <w:color w:val="auto"/>
                <w:sz w:val="20"/>
                <w:szCs w:val="20"/>
              </w:rPr>
              <w:t>2017</w:t>
            </w:r>
            <w:r>
              <w:rPr>
                <w:rFonts w:ascii="宋体" w:hAnsi="宋体" w:eastAsia="宋体" w:cs="宋体"/>
                <w:color w:val="auto"/>
                <w:sz w:val="20"/>
                <w:szCs w:val="20"/>
              </w:rPr>
              <w:t>〕</w:t>
            </w:r>
            <w:r>
              <w:rPr>
                <w:rFonts w:ascii="Times New Roman" w:hAnsi="Times New Roman" w:eastAsia="Times New Roman" w:cs="Times New Roman"/>
                <w:color w:val="auto"/>
                <w:sz w:val="20"/>
                <w:szCs w:val="20"/>
              </w:rPr>
              <w:t>4</w:t>
            </w:r>
            <w:r>
              <w:rPr>
                <w:rFonts w:ascii="宋体" w:hAnsi="宋体" w:eastAsia="宋体" w:cs="宋体"/>
                <w:color w:val="auto"/>
                <w:sz w:val="20"/>
                <w:szCs w:val="20"/>
              </w:rPr>
              <w:t>号）</w:t>
            </w:r>
          </w:p>
          <w:p>
            <w:pPr>
              <w:spacing w:after="0" w:line="229" w:lineRule="exact"/>
              <w:ind w:left="20"/>
              <w:rPr>
                <w:color w:val="auto"/>
                <w:sz w:val="20"/>
                <w:szCs w:val="20"/>
              </w:rPr>
            </w:pPr>
            <w:r>
              <w:rPr>
                <w:rFonts w:ascii="宋体" w:hAnsi="宋体" w:eastAsia="宋体" w:cs="宋体"/>
                <w:color w:val="auto"/>
                <w:sz w:val="20"/>
                <w:szCs w:val="20"/>
              </w:rPr>
              <w:t>《国土资源部关于强化管控落实最严格耕地保护制度的</w:t>
            </w:r>
          </w:p>
          <w:p>
            <w:pPr>
              <w:spacing w:after="0" w:line="244" w:lineRule="exact"/>
              <w:ind w:left="20"/>
              <w:rPr>
                <w:color w:val="auto"/>
                <w:sz w:val="20"/>
                <w:szCs w:val="20"/>
              </w:rPr>
            </w:pPr>
            <w:r>
              <w:rPr>
                <w:rFonts w:ascii="宋体" w:hAnsi="宋体" w:eastAsia="宋体" w:cs="宋体"/>
                <w:color w:val="auto"/>
                <w:sz w:val="20"/>
                <w:szCs w:val="20"/>
              </w:rPr>
              <w:t>通知》（国土资发〔</w:t>
            </w:r>
            <w:r>
              <w:rPr>
                <w:rFonts w:ascii="Times New Roman" w:hAnsi="Times New Roman" w:eastAsia="Times New Roman" w:cs="Times New Roman"/>
                <w:color w:val="auto"/>
                <w:sz w:val="20"/>
                <w:szCs w:val="20"/>
              </w:rPr>
              <w:t>2014</w:t>
            </w:r>
            <w:r>
              <w:rPr>
                <w:rFonts w:ascii="宋体" w:hAnsi="宋体" w:eastAsia="宋体" w:cs="宋体"/>
                <w:color w:val="auto"/>
                <w:sz w:val="20"/>
                <w:szCs w:val="20"/>
              </w:rPr>
              <w:t>〕</w:t>
            </w:r>
            <w:r>
              <w:rPr>
                <w:rFonts w:ascii="Times New Roman" w:hAnsi="Times New Roman" w:eastAsia="Times New Roman" w:cs="Times New Roman"/>
                <w:color w:val="auto"/>
                <w:sz w:val="20"/>
                <w:szCs w:val="20"/>
              </w:rPr>
              <w:t>18</w:t>
            </w:r>
            <w:r>
              <w:rPr>
                <w:rFonts w:ascii="宋体" w:hAnsi="宋体" w:eastAsia="宋体" w:cs="宋体"/>
                <w:color w:val="auto"/>
                <w:sz w:val="20"/>
                <w:szCs w:val="20"/>
              </w:rPr>
              <w:t>号）</w:t>
            </w:r>
          </w:p>
          <w:p>
            <w:pPr>
              <w:spacing w:after="0" w:line="229" w:lineRule="exact"/>
              <w:ind w:left="20"/>
              <w:rPr>
                <w:color w:val="auto"/>
                <w:sz w:val="20"/>
                <w:szCs w:val="20"/>
              </w:rPr>
            </w:pPr>
            <w:r>
              <w:rPr>
                <w:rFonts w:ascii="宋体" w:hAnsi="宋体" w:eastAsia="宋体" w:cs="宋体"/>
                <w:color w:val="auto"/>
                <w:sz w:val="20"/>
                <w:szCs w:val="20"/>
              </w:rPr>
              <w:t>《国土资源部关于全面实行永久基本农田特殊保护的通</w:t>
            </w:r>
          </w:p>
          <w:p>
            <w:pPr>
              <w:spacing w:after="0" w:line="274" w:lineRule="exact"/>
              <w:ind w:left="1980"/>
              <w:rPr>
                <w:rFonts w:ascii="宋体" w:hAnsi="宋体" w:eastAsia="宋体" w:cs="宋体"/>
                <w:b/>
                <w:bCs/>
                <w:color w:val="auto"/>
                <w:sz w:val="24"/>
                <w:szCs w:val="24"/>
              </w:rPr>
            </w:pPr>
            <w:r>
              <w:rPr>
                <w:rFonts w:ascii="宋体" w:hAnsi="宋体" w:eastAsia="宋体" w:cs="宋体"/>
                <w:color w:val="auto"/>
                <w:sz w:val="20"/>
                <w:szCs w:val="20"/>
              </w:rPr>
              <w:t>知》（国土资规〔</w:t>
            </w:r>
            <w:r>
              <w:rPr>
                <w:rFonts w:ascii="Times New Roman" w:hAnsi="Times New Roman" w:eastAsia="Times New Roman" w:cs="Times New Roman"/>
                <w:color w:val="auto"/>
                <w:sz w:val="20"/>
                <w:szCs w:val="20"/>
              </w:rPr>
              <w:t>2018</w:t>
            </w:r>
            <w:r>
              <w:rPr>
                <w:rFonts w:ascii="宋体" w:hAnsi="宋体" w:eastAsia="宋体" w:cs="宋体"/>
                <w:color w:val="auto"/>
                <w:sz w:val="20"/>
                <w:szCs w:val="20"/>
              </w:rPr>
              <w:t>〕</w:t>
            </w:r>
            <w:r>
              <w:rPr>
                <w:rFonts w:ascii="Times New Roman" w:hAnsi="Times New Roman" w:eastAsia="Times New Roman" w:cs="Times New Roman"/>
                <w:color w:val="auto"/>
                <w:sz w:val="20"/>
                <w:szCs w:val="20"/>
              </w:rPr>
              <w:t>1</w:t>
            </w:r>
            <w:r>
              <w:rPr>
                <w:rFonts w:ascii="宋体" w:hAnsi="宋体" w:eastAsia="宋体" w:cs="宋体"/>
                <w:color w:val="auto"/>
                <w:sz w:val="20"/>
                <w:szCs w:val="20"/>
              </w:rPr>
              <w:t>号）</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2</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禁止占用耕地建窑、建坟或者擅自在耕地上建房、挖沙、采石、采矿、取土等</w:t>
            </w:r>
          </w:p>
        </w:tc>
        <w:tc>
          <w:tcPr>
            <w:tcW w:w="4940" w:type="dxa"/>
            <w:tcBorders>
              <w:top w:val="single" w:color="auto" w:sz="8" w:space="0"/>
              <w:bottom w:val="single" w:color="auto" w:sz="8" w:space="0"/>
              <w:right w:val="single" w:color="auto" w:sz="8" w:space="0"/>
            </w:tcBorders>
            <w:vAlign w:val="bottom"/>
          </w:tcPr>
          <w:p>
            <w:pPr>
              <w:spacing w:after="0" w:line="274" w:lineRule="exact"/>
              <w:ind w:left="1980"/>
              <w:rPr>
                <w:rFonts w:ascii="宋体" w:hAnsi="宋体" w:eastAsia="宋体" w:cs="宋体"/>
                <w:color w:val="auto"/>
                <w:sz w:val="20"/>
                <w:szCs w:val="20"/>
              </w:rPr>
            </w:pPr>
            <w:r>
              <w:rPr>
                <w:rFonts w:ascii="宋体" w:hAnsi="宋体" w:eastAsia="宋体" w:cs="宋体"/>
                <w:color w:val="auto"/>
                <w:sz w:val="20"/>
                <w:szCs w:val="20"/>
              </w:rPr>
              <w:t>《中华人民共和国土地管理法》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3</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禁止在二十五度以上陡坡地开垦种植农作物</w:t>
            </w:r>
          </w:p>
        </w:tc>
        <w:tc>
          <w:tcPr>
            <w:tcW w:w="4940" w:type="dxa"/>
            <w:tcBorders>
              <w:top w:val="single" w:color="auto" w:sz="8" w:space="0"/>
              <w:bottom w:val="single" w:color="auto" w:sz="8" w:space="0"/>
              <w:right w:val="single" w:color="auto" w:sz="8" w:space="0"/>
            </w:tcBorders>
            <w:vAlign w:val="bottom"/>
          </w:tcPr>
          <w:p>
            <w:pPr>
              <w:spacing w:after="0" w:line="274" w:lineRule="exact"/>
              <w:ind w:left="1980"/>
              <w:rPr>
                <w:rFonts w:ascii="宋体" w:hAnsi="宋体" w:eastAsia="宋体" w:cs="宋体"/>
                <w:color w:val="auto"/>
                <w:sz w:val="20"/>
                <w:szCs w:val="20"/>
              </w:rPr>
            </w:pPr>
            <w:r>
              <w:rPr>
                <w:rFonts w:ascii="宋体" w:hAnsi="宋体" w:eastAsia="宋体" w:cs="宋体"/>
                <w:color w:val="auto"/>
                <w:sz w:val="20"/>
                <w:szCs w:val="20"/>
              </w:rPr>
              <w:t>《中华人民共和国水土保持法》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4</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禁止围湖造田（地）和违规围垦河道</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《中华人民共和国水法》</w:t>
            </w:r>
          </w:p>
          <w:p>
            <w:pPr>
              <w:spacing w:after="0" w:line="229" w:lineRule="exact"/>
              <w:ind w:left="20"/>
              <w:rPr>
                <w:color w:val="auto"/>
                <w:sz w:val="20"/>
                <w:szCs w:val="20"/>
              </w:rPr>
            </w:pPr>
            <w:r>
              <w:rPr>
                <w:rFonts w:ascii="宋体" w:hAnsi="宋体" w:eastAsia="宋体" w:cs="宋体"/>
                <w:color w:val="auto"/>
                <w:sz w:val="20"/>
                <w:szCs w:val="20"/>
              </w:rPr>
              <w:t>《中华人民共和国防洪法》</w:t>
            </w:r>
          </w:p>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《中华人民共和国河道管理条例》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5</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禁止使用带有危险性病、虫的种子、苗木和其他繁殖材料育苗或造林，禁止试验、推广带</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有检疫性有害生物的种子、苗木和其他繁殖材料</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《森林病虫害防治条例》</w:t>
            </w:r>
          </w:p>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《植物检疫条例》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6</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禁止将有毒、有害废物用作肥料或用于造田</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《中华人民共和国清洁生产促进法》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7</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禁止将剧毒、高毒农药用于蔬菜、瓜果、茶叶、菌类、中草药材等国家规定的农作物和水</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生植物的病虫害防治</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《中华人民共和国食品安全法》</w:t>
            </w:r>
          </w:p>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《农药管理条例》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8</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禁止将重金属污染物或者其他有毒有害物质用作回填或者充填材料，受重金属污染物或者</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其他有毒有害物质污染的土地复垦后，达不到国家有关标准的，不得用于种植食用农作物</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《土地复垦条例》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9</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禁止使用炸鱼、毒鱼、电鱼等破坏渔业资源的方法进行捕捞</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《中华人民共和国渔业法》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10</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禁止对重要的渔业苗种基地和养殖场所进行围垦</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《中华人民共和国渔业法》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11</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禁止制造、销售、使用禁用的渔具；禁止在禁渔区或禁渔期内销售非法捕捞的渔获物</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《中华人民共和国渔业法》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12</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禁止在湖泊保护范围内圈圩养殖（江苏）</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《江苏省湖泊保护条例》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13</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禁止生产、经营和使用国家明令禁止生产或者撤销登记的农药</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《农药管理条例》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14</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禁止生产、销售、使用国家明令禁止的农业投入品</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《中华人民共和国土壤污染防治法》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15</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禁止在临时利用的无居民海岛上建造永久性建筑物或者设施</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《中华人民共和国海岛保护法》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16</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禁止破坏国防用途无居民海岛的自然地形、地貌；禁止将国防用途无居民海岛用于与国防</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无关的活动</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《中华人民共和国海岛保护法》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17</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禁止在依法确定为旅游娱乐用途的无居民海岛及周边海域建造居民定居场所和从事生产性</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养殖活动</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《中华人民共和国海岛保护法》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18</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动物诊疗机构不得在动物诊疗场所从事动物交易、寄养活动（北京）</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《北京市动物防疫条例》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19</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★禁止非法定机构向社会发布农林业动植物疫情，以及动物疫情预警预报、农作物和林木</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病虫害预报、普查信息及灾情信息</w:t>
            </w:r>
          </w:p>
        </w:tc>
        <w:tc>
          <w:tcPr>
            <w:tcW w:w="4940" w:type="dxa"/>
            <w:tcBorders>
              <w:top w:val="single" w:color="auto" w:sz="8" w:space="0"/>
              <w:bottom w:val="single" w:color="auto" w:sz="8" w:space="0"/>
              <w:right w:val="single" w:color="auto" w:sz="8" w:space="0"/>
            </w:tcBorders>
            <w:vAlign w:val="bottom"/>
          </w:tcPr>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《植物检疫条例》及农业部意见</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20</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禁止检疫对象疫区内的种子、苗木及其他繁殖材料和应施检疫的植物、植物产品运出疫区</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《植物检疫条例》</w:t>
            </w:r>
          </w:p>
          <w:p>
            <w:pPr>
              <w:spacing w:after="0" w:line="274" w:lineRule="exact"/>
              <w:rPr>
                <w:rFonts w:ascii="宋体" w:hAnsi="宋体" w:eastAsia="宋体" w:cs="宋体"/>
                <w:color w:val="auto"/>
                <w:sz w:val="20"/>
                <w:szCs w:val="20"/>
              </w:rPr>
            </w:pPr>
            <w:r>
              <w:rPr>
                <w:rFonts w:ascii="宋体" w:hAnsi="宋体" w:eastAsia="宋体" w:cs="宋体"/>
                <w:color w:val="auto"/>
                <w:sz w:val="20"/>
                <w:szCs w:val="20"/>
              </w:rPr>
              <w:t>《植物检疫条例实施细则（农业部分）》</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color w:val="auto"/>
                <w:sz w:val="24"/>
                <w:szCs w:val="24"/>
                <w:lang w:val="en-US" w:eastAsia="zh-CN"/>
              </w:rPr>
            </w:pPr>
            <w:r>
              <w:rPr>
                <w:rFonts w:hint="eastAsia"/>
                <w:color w:val="auto"/>
                <w:sz w:val="24"/>
                <w:szCs w:val="24"/>
                <w:lang w:val="en-US" w:eastAsia="zh-CN"/>
              </w:rPr>
              <w:t>21</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禁止采挖、破坏珊瑚和珊瑚礁；禁止砍伐海岛周边海域红树林</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《中华人民共和国海岛保护法》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22</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禁止冲滩拆解船舶</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《国务院关于印发水污染防治行动计划的通知》（国发</w:t>
            </w:r>
          </w:p>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2015</w:t>
            </w:r>
            <w:r>
              <w:rPr>
                <w:rFonts w:ascii="宋体" w:hAnsi="宋体" w:eastAsia="宋体" w:cs="宋体"/>
                <w:color w:val="auto"/>
                <w:sz w:val="20"/>
                <w:szCs w:val="20"/>
              </w:rPr>
              <w:t>〕</w:t>
            </w:r>
            <w:r>
              <w:rPr>
                <w:rFonts w:ascii="Times New Roman" w:hAnsi="Times New Roman" w:eastAsia="Times New Roman" w:cs="Times New Roman"/>
                <w:color w:val="auto"/>
                <w:sz w:val="20"/>
                <w:szCs w:val="20"/>
              </w:rPr>
              <w:t>17</w:t>
            </w:r>
            <w:r>
              <w:rPr>
                <w:rFonts w:ascii="宋体" w:hAnsi="宋体" w:eastAsia="宋体" w:cs="宋体"/>
                <w:color w:val="auto"/>
                <w:sz w:val="20"/>
                <w:szCs w:val="20"/>
              </w:rPr>
              <w:t>号）</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23</w:t>
            </w:r>
          </w:p>
        </w:tc>
        <w:tc>
          <w:tcPr>
            <w:tcW w:w="7980" w:type="dxa"/>
            <w:tcBorders>
              <w:top w:val="single" w:color="auto" w:sz="8" w:space="0"/>
              <w:bottom w:val="single" w:color="auto" w:sz="8" w:space="0"/>
              <w:right w:val="single" w:color="auto" w:sz="8" w:space="0"/>
            </w:tcBorders>
            <w:vAlign w:val="bottom"/>
          </w:tcPr>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禁止来自重大动植物疫情流行的国家和地区的有关动植物、动植物产品和其他检疫物进境</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《中华人民共和国进出境动植物检疫法》</w:t>
            </w:r>
          </w:p>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《中华人民共和国进出境动植物检疫法实施条例》</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24</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禁止来自所有国家或地区的动植物病原体（包括菌种、毒种）、害虫、有害生物体、非法</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转基因生物材料、土壤、动物尸体进境</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《中华人民共和国进出境动植物检疫法》</w:t>
            </w:r>
          </w:p>
          <w:p>
            <w:pPr>
              <w:spacing w:after="0" w:line="229" w:lineRule="exact"/>
              <w:ind w:left="20"/>
              <w:rPr>
                <w:color w:val="auto"/>
                <w:sz w:val="20"/>
                <w:szCs w:val="20"/>
              </w:rPr>
            </w:pPr>
            <w:r>
              <w:rPr>
                <w:rFonts w:ascii="宋体" w:hAnsi="宋体" w:eastAsia="宋体" w:cs="宋体"/>
                <w:color w:val="auto"/>
                <w:sz w:val="20"/>
                <w:szCs w:val="20"/>
              </w:rPr>
              <w:t>《中华人民共和国进出境动植物检疫法实施条例》</w:t>
            </w:r>
          </w:p>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《中华人民共和国进境植物检疫禁止进境物名录》</w:t>
            </w:r>
          </w:p>
        </w:tc>
      </w:tr>
      <w:tr>
        <w:tblPrEx>
          <w:tblLayout w:type="fixed"/>
          <w:tblCellMar>
            <w:top w:w="0" w:type="dxa"/>
            <w:left w:w="0" w:type="dxa"/>
            <w:bottom w:w="0" w:type="dxa"/>
            <w:right w:w="0" w:type="dxa"/>
          </w:tblCellMar>
        </w:tblPrEx>
        <w:trPr>
          <w:trHeight w:val="748" w:hRule="atLeast"/>
        </w:trPr>
        <w:tc>
          <w:tcPr>
            <w:tcW w:w="1060" w:type="dxa"/>
            <w:tcBorders>
              <w:top w:val="single" w:color="auto" w:sz="8" w:space="0"/>
              <w:left w:val="single" w:color="auto" w:sz="8" w:space="0"/>
              <w:bottom w:val="single" w:color="auto" w:sz="8" w:space="0"/>
              <w:right w:val="single" w:color="auto" w:sz="8" w:space="0"/>
            </w:tcBorders>
            <w:vAlign w:val="bottom"/>
          </w:tcPr>
          <w:p>
            <w:pPr>
              <w:spacing w:after="0"/>
              <w:rPr>
                <w:rFonts w:hint="default" w:eastAsiaTheme="minorEastAsia"/>
                <w:color w:val="auto"/>
                <w:sz w:val="24"/>
                <w:szCs w:val="24"/>
                <w:lang w:val="en-US" w:eastAsia="zh-CN"/>
              </w:rPr>
            </w:pPr>
            <w:r>
              <w:rPr>
                <w:rFonts w:hint="eastAsia"/>
                <w:color w:val="auto"/>
                <w:sz w:val="24"/>
                <w:szCs w:val="24"/>
                <w:lang w:val="en-US" w:eastAsia="zh-CN"/>
              </w:rPr>
              <w:t>25</w:t>
            </w:r>
          </w:p>
        </w:tc>
        <w:tc>
          <w:tcPr>
            <w:tcW w:w="798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禁止屠宰、经营、运输下列动物和生产、经营、加工、贮藏、运输下列动物产品：封锁疫</w:t>
            </w:r>
          </w:p>
          <w:p>
            <w:pPr>
              <w:spacing w:after="0" w:line="229" w:lineRule="exact"/>
              <w:ind w:left="20"/>
              <w:rPr>
                <w:color w:val="auto"/>
                <w:sz w:val="20"/>
                <w:szCs w:val="20"/>
              </w:rPr>
            </w:pPr>
            <w:r>
              <w:rPr>
                <w:rFonts w:ascii="宋体" w:hAnsi="宋体" w:eastAsia="宋体" w:cs="宋体"/>
                <w:color w:val="auto"/>
                <w:sz w:val="20"/>
                <w:szCs w:val="20"/>
              </w:rPr>
              <w:t>区内与所发生动物疫病有关的；疫区内易感染的；依法应当检疫而未经检疫或者检疫不合</w:t>
            </w:r>
          </w:p>
          <w:p>
            <w:pPr>
              <w:spacing w:after="0" w:line="229" w:lineRule="exact"/>
              <w:ind w:left="20"/>
              <w:rPr>
                <w:color w:val="auto"/>
                <w:sz w:val="20"/>
                <w:szCs w:val="20"/>
              </w:rPr>
            </w:pPr>
            <w:r>
              <w:rPr>
                <w:rFonts w:ascii="宋体" w:hAnsi="宋体" w:eastAsia="宋体" w:cs="宋体"/>
                <w:color w:val="auto"/>
                <w:sz w:val="20"/>
                <w:szCs w:val="20"/>
              </w:rPr>
              <w:t>格的；染疫或者疑似染疫的；病死或者死因不明的；其他不符合国务院兽医主管部门有关</w:t>
            </w:r>
          </w:p>
          <w:p>
            <w:pPr>
              <w:spacing w:after="0" w:line="229" w:lineRule="exact"/>
              <w:ind w:left="20" w:leftChars="0"/>
              <w:rPr>
                <w:rFonts w:ascii="宋体" w:hAnsi="宋体" w:eastAsia="宋体" w:cs="宋体"/>
                <w:color w:val="auto"/>
                <w:sz w:val="20"/>
                <w:szCs w:val="20"/>
              </w:rPr>
            </w:pPr>
            <w:r>
              <w:rPr>
                <w:rFonts w:ascii="宋体" w:hAnsi="宋体" w:eastAsia="宋体" w:cs="宋体"/>
                <w:color w:val="auto"/>
                <w:sz w:val="20"/>
                <w:szCs w:val="20"/>
              </w:rPr>
              <w:t>动物防疫规定的</w:t>
            </w:r>
          </w:p>
        </w:tc>
        <w:tc>
          <w:tcPr>
            <w:tcW w:w="4940" w:type="dxa"/>
            <w:tcBorders>
              <w:top w:val="single" w:color="auto" w:sz="8" w:space="0"/>
              <w:bottom w:val="single" w:color="auto" w:sz="8" w:space="0"/>
              <w:right w:val="single" w:color="auto" w:sz="8" w:space="0"/>
            </w:tcBorders>
            <w:vAlign w:val="bottom"/>
          </w:tcPr>
          <w:p>
            <w:pPr>
              <w:spacing w:after="0" w:line="229" w:lineRule="exact"/>
              <w:ind w:left="20"/>
              <w:rPr>
                <w:rFonts w:ascii="宋体" w:hAnsi="宋体" w:eastAsia="宋体" w:cs="宋体"/>
                <w:color w:val="auto"/>
                <w:sz w:val="20"/>
                <w:szCs w:val="20"/>
              </w:rPr>
            </w:pPr>
            <w:r>
              <w:rPr>
                <w:rFonts w:ascii="宋体" w:hAnsi="宋体" w:eastAsia="宋体" w:cs="宋体"/>
                <w:color w:val="auto"/>
                <w:sz w:val="20"/>
                <w:szCs w:val="20"/>
              </w:rPr>
              <w:t>《中华人民共和国动物防疫法》</w:t>
            </w:r>
          </w:p>
        </w:tc>
      </w:tr>
    </w:tbl>
    <w:p/>
    <w:p/>
    <w:p/>
    <w:sectPr>
      <w:footerReference r:id="rId3" w:type="default"/>
      <w:pgSz w:w="16838" w:h="11906" w:orient="landscape"/>
      <w:pgMar w:top="1803" w:right="1440" w:bottom="1803" w:left="1440" w:header="851" w:footer="992" w:gutter="0"/>
      <w:pgNumType w:fmt="decimal" w:chapStyle="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37E45"/>
    <w:rsid w:val="031C1201"/>
    <w:rsid w:val="09EA5CEF"/>
    <w:rsid w:val="42727FBA"/>
    <w:rsid w:val="4EDB179F"/>
    <w:rsid w:val="5AA37E45"/>
    <w:rsid w:val="5D661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2019-09-05T06:43:00Z</dcterms:created>
  <dc:creator>周海燕</dc:creator>
  <cp:lastModifiedBy>周海燕</cp:lastModifiedBy>
  <dcterms:modified xsi:type="dcterms:W3CDTF">2019-09-09T03:15:59Z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