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2015年决算批复说明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部门职责、机构设置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1、部门职能主要是贯彻执行国家、省、市有关土地、矿产资源、测绘工作的法律、法规和政策规定,组织实施国土资源管理工作，具体包括：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(1)组织编制实施全县国土规划、土地利用总体规划、矿产资源保护与合理利用规划和其他专项规划。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(2)依法保护土地、矿产资源所有者和使用者的合法权益；承办并组织调处重大权属纠纷，查处重大违法案件；负责有关行政复议。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(3)实施耕地保护；实施农地用途管制，指导并实施未利用土地开发、土地整理、土地复垦工作。组织全县土地资源调查、地籍调查、土地确权、定级和登记等工作，指导乡镇土地使用权登记发证管理工作。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(4)全县土地资源、土地市场出让、拍卖等工作；指导农村集体非农土地使用权的流转管理。依法对矿产资源的开发、利用和保护进行监督管理。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(5)组织监测、防治地质灾害工作，管理全县基础测绘、辖区内界线测绘、地籍测绘工作；按规定做好矿产、资源、土地税费征收、使用的有关工作。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(6)国土资源法制宣传和教育培训工作。</w:t>
      </w:r>
    </w:p>
    <w:p>
      <w:pPr>
        <w:snapToGrid w:val="0"/>
        <w:spacing w:line="420" w:lineRule="exact"/>
        <w:ind w:firstLine="512" w:firstLineChars="20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2、机构人员情况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（1）2015年我局人事编制数：行政编制（局机关、国土所、执法队）85名，其中工勤4名；事业编制共32名，其中矿产资源管理办公室12名，土地测绘队8名，土地交易服务中心6名，土地开发中心3名，信息管理中心3名。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（2）财政核拨在职人员工资共107人：行政人员85名（含工勤4名），其他人员（原国土所转为公务员超编的）11人，事业财政补助11人。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（3）在财政拨经费中付工资共22人：原土地执法队改革留下人员10人，土地开发中心12人。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（4）退休人员共33人：财政核拨退休人员工资25人，财政拨经费中付退休人员其他费用的8人（原土地执法队退休1人，土地开发中心退休7人）。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（5）我局自收自支人员共10人：土地测绘队4人，土地交易服务中心6人。</w:t>
      </w:r>
    </w:p>
    <w:p>
      <w:pPr>
        <w:snapToGrid w:val="0"/>
        <w:spacing w:line="420" w:lineRule="exact"/>
        <w:ind w:firstLine="384" w:firstLineChars="150"/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spacing w:val="8"/>
          <w:kern w:val="28"/>
          <w:sz w:val="28"/>
          <w:szCs w:val="28"/>
        </w:rPr>
        <w:t>我单位实有人数172名。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预算执行情况分析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  1、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收入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支出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决算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总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说明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单位本年度一般预算财政拨款收入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总计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16118.807712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sz w:val="28"/>
          <w:szCs w:val="28"/>
        </w:rPr>
        <w:t>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，支出总计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16118.807712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万元。与2014年度相比，收、支各减少18681.952251万元。主要原因是：项目支出减少。</w:t>
      </w:r>
    </w:p>
    <w:p>
      <w:pPr>
        <w:spacing w:line="560" w:lineRule="exact"/>
        <w:ind w:firstLine="63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支出决算说明</w:t>
      </w:r>
    </w:p>
    <w:p>
      <w:pPr>
        <w:spacing w:line="560" w:lineRule="exact"/>
        <w:ind w:firstLine="63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16118.807712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万元，其中基本支出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1653.956094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万元,项目支出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14464.851618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万元;其中工资福利支出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937.670493  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万元；对个人和家庭的补助支出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156.340961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</w:t>
      </w:r>
      <w:bookmarkStart w:id="0" w:name="OLE_LINK1"/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一般商品和服务支出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1424.419358   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63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、固定资产情况</w:t>
      </w:r>
    </w:p>
    <w:p>
      <w:pPr>
        <w:spacing w:line="560" w:lineRule="exact"/>
        <w:ind w:firstLine="63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年初固定资产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926.999751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万元，年末固定资产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1029.018174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万元，本年增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加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102.018423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万元，主要原因是房屋和汽车增加。</w:t>
      </w:r>
    </w:p>
    <w:p>
      <w:pPr>
        <w:ind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“三公经费”公共预算财政拨款支出基本情况：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本单位2015年度三公经费决算总支出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16118.807712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万元，预算安排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16118.807712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万元，完成预算的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、因公出国（境）费</w:t>
      </w:r>
      <w:bookmarkStart w:id="1" w:name="OLE_LINK2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决算</w:t>
      </w:r>
      <w:bookmarkEnd w:id="1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、公务用车购置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支出10.1381万元，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公务用车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运行维护费支出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35.1381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相比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持平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。说明：我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积极响应中央号召，压缩车辆运行开支。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、公务接待费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决算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万元，与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相比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4、本单位全年因出国（境）累计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次，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人；年末公务用车保有量为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辆；外事接待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0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次，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人。</w:t>
      </w:r>
    </w:p>
    <w:p>
      <w:pPr>
        <w:spacing w:line="580" w:lineRule="exact"/>
        <w:ind w:firstLine="602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S Mincho">
    <w:altName w:val="MS UI Gothic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PMingLiU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3E1EF"/>
    <w:multiLevelType w:val="singleLevel"/>
    <w:tmpl w:val="57C3E1E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67DEF"/>
    <w:rsid w:val="013775B1"/>
    <w:rsid w:val="01A55D9A"/>
    <w:rsid w:val="05360659"/>
    <w:rsid w:val="06D14638"/>
    <w:rsid w:val="0855436A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BB87334"/>
    <w:rsid w:val="2C21717E"/>
    <w:rsid w:val="2C2D71A1"/>
    <w:rsid w:val="2C9B65B8"/>
    <w:rsid w:val="30956B08"/>
    <w:rsid w:val="37135531"/>
    <w:rsid w:val="38BA7897"/>
    <w:rsid w:val="3A1338BC"/>
    <w:rsid w:val="3A1D7A33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D7D7538"/>
    <w:rsid w:val="4E4A51F5"/>
    <w:rsid w:val="51D80999"/>
    <w:rsid w:val="52D303B8"/>
    <w:rsid w:val="558D5683"/>
    <w:rsid w:val="55B206DB"/>
    <w:rsid w:val="564F7FB5"/>
    <w:rsid w:val="5A625D9B"/>
    <w:rsid w:val="5D60593B"/>
    <w:rsid w:val="5E3466CD"/>
    <w:rsid w:val="64120629"/>
    <w:rsid w:val="64402164"/>
    <w:rsid w:val="65783268"/>
    <w:rsid w:val="6644110F"/>
    <w:rsid w:val="6D4D37B6"/>
    <w:rsid w:val="70834E13"/>
    <w:rsid w:val="73EA4DB2"/>
    <w:rsid w:val="792B2E85"/>
    <w:rsid w:val="799D657C"/>
    <w:rsid w:val="7BF23FC7"/>
    <w:rsid w:val="7C0A28FE"/>
    <w:rsid w:val="7C2F1452"/>
    <w:rsid w:val="7D293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2016-08-29T07:14:00Z</dcterms:created>
  <dc:creator>Administrator</dc:creator>
  <cp:lastModifiedBy>Administrator</cp:lastModifiedBy>
  <dcterms:modified xsi:type="dcterms:W3CDTF">2016-08-31T00:56:35Z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