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Times New Roman"/>
          <w:b w:val="0"/>
          <w:bCs w:val="0"/>
          <w:sz w:val="30"/>
        </w:rPr>
      </w:pPr>
      <w:r>
        <w:rPr>
          <w:rFonts w:hint="eastAsia" w:ascii="方正小标宋_GBK" w:hAnsi="方正小标宋_GBK" w:eastAsia="方正小标宋_GBK" w:cs="Times New Roman"/>
          <w:b w:val="0"/>
          <w:bCs w:val="0"/>
          <w:sz w:val="30"/>
        </w:rPr>
        <w:t>（二）公共资源交易领域基层政务公开标准目录</w:t>
      </w:r>
    </w:p>
    <w:tbl>
      <w:tblPr>
        <w:tblStyle w:val="4"/>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shd w:val="clear" w:color="auto" w:fill="auto"/>
            <w:noWrap w:val="0"/>
            <w:vAlign w:val="center"/>
          </w:tcPr>
          <w:p>
            <w:pPr>
              <w:widowControl/>
              <w:jc w:val="left"/>
              <w:rPr>
                <w:rFonts w:hint="eastAsia" w:ascii="黑体" w:hAnsi="宋体" w:eastAsia="黑体" w:cs="宋体"/>
                <w:kern w:val="0"/>
                <w:sz w:val="22"/>
              </w:rPr>
            </w:pPr>
          </w:p>
        </w:tc>
        <w:tc>
          <w:tcPr>
            <w:tcW w:w="2340" w:type="dxa"/>
            <w:vMerge w:val="continue"/>
            <w:shd w:val="clear" w:color="auto" w:fill="auto"/>
            <w:noWrap w:val="0"/>
            <w:vAlign w:val="center"/>
          </w:tcPr>
          <w:p>
            <w:pPr>
              <w:widowControl/>
              <w:jc w:val="left"/>
              <w:rPr>
                <w:rFonts w:hint="eastAsia" w:ascii="黑体" w:hAnsi="宋体" w:eastAsia="黑体" w:cs="宋体"/>
                <w:kern w:val="0"/>
                <w:sz w:val="22"/>
              </w:rPr>
            </w:pPr>
          </w:p>
        </w:tc>
        <w:tc>
          <w:tcPr>
            <w:tcW w:w="1620" w:type="dxa"/>
            <w:vMerge w:val="continue"/>
            <w:shd w:val="clear" w:color="auto" w:fill="auto"/>
            <w:noWrap w:val="0"/>
            <w:vAlign w:val="center"/>
          </w:tcPr>
          <w:p>
            <w:pPr>
              <w:widowControl/>
              <w:jc w:val="left"/>
              <w:rPr>
                <w:rFonts w:hint="eastAsia" w:ascii="黑体" w:hAnsi="宋体" w:eastAsia="黑体" w:cs="宋体"/>
                <w:kern w:val="0"/>
                <w:sz w:val="22"/>
              </w:rPr>
            </w:pPr>
          </w:p>
        </w:tc>
        <w:tc>
          <w:tcPr>
            <w:tcW w:w="956" w:type="dxa"/>
            <w:vMerge w:val="continue"/>
            <w:shd w:val="clear" w:color="auto" w:fill="auto"/>
            <w:noWrap w:val="0"/>
            <w:vAlign w:val="center"/>
          </w:tcPr>
          <w:p>
            <w:pPr>
              <w:widowControl/>
              <w:jc w:val="left"/>
              <w:rPr>
                <w:rFonts w:ascii="黑体" w:hAnsi="宋体" w:eastAsia="黑体" w:cs="宋体"/>
                <w:kern w:val="0"/>
                <w:sz w:val="22"/>
              </w:rPr>
            </w:pPr>
          </w:p>
        </w:tc>
        <w:tc>
          <w:tcPr>
            <w:tcW w:w="185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shd w:val="clear" w:color="auto" w:fill="auto"/>
            <w:noWrap w:val="0"/>
            <w:vAlign w:val="center"/>
          </w:tcPr>
          <w:p>
            <w:pPr>
              <w:jc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及时公开</w:t>
            </w:r>
          </w:p>
        </w:tc>
        <w:tc>
          <w:tcPr>
            <w:tcW w:w="956" w:type="dxa"/>
            <w:shd w:val="clear" w:color="auto" w:fill="auto"/>
            <w:noWrap w:val="0"/>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lang w:eastAsia="zh-CN"/>
              </w:rPr>
              <w:t>招标人或者其委托的招标代理机构</w:t>
            </w:r>
          </w:p>
        </w:tc>
        <w:tc>
          <w:tcPr>
            <w:tcW w:w="1856"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招标投标公共服务平台</w:t>
            </w:r>
            <w:r>
              <w:rPr>
                <w:rFonts w:ascii="仿宋_GB2312" w:hAnsi="宋体" w:eastAsia="仿宋_GB2312"/>
                <w:sz w:val="18"/>
                <w:szCs w:val="18"/>
              </w:rPr>
              <w:t></w:t>
            </w:r>
          </w:p>
          <w:p>
            <w:pPr>
              <w:rPr>
                <w:rFonts w:hint="eastAsia" w:ascii="仿宋_GB2312" w:hAnsi="宋体" w:eastAsia="仿宋_GB2312"/>
                <w:sz w:val="18"/>
                <w:szCs w:val="18"/>
                <w:lang w:eastAsia="zh-CN"/>
              </w:rPr>
            </w:pPr>
            <w:r>
              <w:rPr>
                <w:rFonts w:hint="eastAsia" w:ascii="仿宋_GB2312" w:hAnsi="宋体" w:eastAsia="仿宋_GB2312"/>
                <w:sz w:val="18"/>
                <w:szCs w:val="18"/>
              </w:rPr>
              <w:t>■</w:t>
            </w:r>
            <w:r>
              <w:rPr>
                <w:rFonts w:hint="eastAsia" w:ascii="仿宋_GB2312" w:hAnsi="宋体" w:eastAsia="仿宋_GB2312"/>
                <w:sz w:val="18"/>
                <w:szCs w:val="18"/>
                <w:lang w:eastAsia="zh-CN"/>
              </w:rPr>
              <w:t>公共资源交易平台</w:t>
            </w:r>
          </w:p>
          <w:p>
            <w:pP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sz w:val="18"/>
                <w:szCs w:val="18"/>
                <w:lang w:eastAsia="zh-CN"/>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776"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shd w:val="clear" w:color="auto" w:fill="auto"/>
            <w:noWrap w:val="0"/>
            <w:vAlign w:val="center"/>
          </w:tcPr>
          <w:p>
            <w:pPr>
              <w:rPr>
                <w:rFonts w:hint="eastAsia" w:ascii="仿宋_GB2312" w:hAnsi="宋体" w:eastAsia="仿宋_GB2312"/>
                <w:sz w:val="18"/>
                <w:szCs w:val="18"/>
              </w:rPr>
            </w:pPr>
          </w:p>
        </w:tc>
        <w:tc>
          <w:tcPr>
            <w:tcW w:w="162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shd w:val="clear" w:color="auto" w:fill="auto"/>
            <w:noWrap w:val="0"/>
            <w:vAlign w:val="center"/>
          </w:tcPr>
          <w:p>
            <w:pPr>
              <w:jc w:val="center"/>
              <w:rPr>
                <w:rFonts w:hint="eastAsia" w:ascii="仿宋_GB2312" w:hAnsi="宋体" w:eastAsia="仿宋_GB2312"/>
                <w:sz w:val="18"/>
                <w:szCs w:val="18"/>
              </w:rPr>
            </w:pPr>
          </w:p>
        </w:tc>
        <w:tc>
          <w:tcPr>
            <w:tcW w:w="776"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shd w:val="clear" w:color="auto" w:fill="auto"/>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776"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shd w:val="clear" w:color="auto" w:fill="auto"/>
            <w:noWrap w:val="0"/>
            <w:vAlign w:val="center"/>
          </w:tcPr>
          <w:p>
            <w:pPr>
              <w:rPr>
                <w:rFonts w:hint="eastAsia" w:ascii="仿宋_GB2312" w:eastAsia="仿宋_GB2312"/>
                <w:sz w:val="18"/>
                <w:szCs w:val="18"/>
              </w:rPr>
            </w:pP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shd w:val="clear" w:color="auto" w:fill="auto"/>
            <w:noWrap w:val="0"/>
            <w:vAlign w:val="center"/>
          </w:tcPr>
          <w:p>
            <w:pPr>
              <w:rPr>
                <w:rFonts w:ascii="Wingdings 2" w:hAnsi="Wingdings 2" w:cs="宋体"/>
                <w:sz w:val="18"/>
                <w:szCs w:val="18"/>
              </w:rPr>
            </w:pPr>
          </w:p>
        </w:tc>
        <w:tc>
          <w:tcPr>
            <w:tcW w:w="720" w:type="dxa"/>
            <w:shd w:val="clear" w:color="auto" w:fill="auto"/>
            <w:noWrap w:val="0"/>
            <w:vAlign w:val="center"/>
          </w:tcPr>
          <w:p>
            <w:pPr>
              <w:jc w:val="center"/>
              <w:rPr>
                <w:rFonts w:ascii="宋体" w:hAnsi="宋体" w:cs="宋体"/>
                <w:sz w:val="18"/>
                <w:szCs w:val="18"/>
              </w:rPr>
            </w:pPr>
            <w:r>
              <w:rPr>
                <w:rFonts w:hint="eastAsia"/>
                <w:sz w:val="18"/>
                <w:szCs w:val="18"/>
              </w:rPr>
              <w:t>√</w:t>
            </w:r>
          </w:p>
        </w:tc>
        <w:tc>
          <w:tcPr>
            <w:tcW w:w="900" w:type="dxa"/>
            <w:shd w:val="clear" w:color="auto" w:fill="auto"/>
            <w:noWrap w:val="0"/>
            <w:vAlign w:val="center"/>
          </w:tcPr>
          <w:p>
            <w:pPr>
              <w:jc w:val="center"/>
              <w:rPr>
                <w:rFonts w:ascii="宋体" w:hAnsi="宋体" w:cs="宋体"/>
                <w:sz w:val="18"/>
                <w:szCs w:val="18"/>
              </w:rPr>
            </w:pPr>
            <w:r>
              <w:rPr>
                <w:rFonts w:hint="eastAsia"/>
                <w:sz w:val="18"/>
                <w:szCs w:val="18"/>
              </w:rPr>
              <w:t>　</w:t>
            </w:r>
          </w:p>
        </w:tc>
        <w:tc>
          <w:tcPr>
            <w:tcW w:w="788" w:type="dxa"/>
            <w:shd w:val="clear" w:color="auto" w:fill="auto"/>
            <w:noWrap w:val="0"/>
            <w:vAlign w:val="center"/>
          </w:tcPr>
          <w:p>
            <w:pPr>
              <w:jc w:val="center"/>
              <w:rPr>
                <w:rFonts w:ascii="宋体" w:hAnsi="宋体" w:cs="宋体"/>
                <w:sz w:val="18"/>
                <w:szCs w:val="18"/>
              </w:rPr>
            </w:pPr>
            <w:r>
              <w:rPr>
                <w:rFonts w:hint="eastAsia"/>
                <w:sz w:val="18"/>
                <w:szCs w:val="18"/>
              </w:rPr>
              <w:t>√</w:t>
            </w:r>
          </w:p>
        </w:tc>
        <w:tc>
          <w:tcPr>
            <w:tcW w:w="900" w:type="dxa"/>
            <w:shd w:val="clear" w:color="auto" w:fill="auto"/>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shd w:val="clear" w:color="auto" w:fill="auto"/>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shd w:val="clear" w:color="auto" w:fill="auto"/>
            <w:noWrap w:val="0"/>
            <w:vAlign w:val="center"/>
          </w:tcPr>
          <w:p>
            <w:pPr>
              <w:rPr>
                <w:rFonts w:ascii="仿宋_GB2312" w:eastAsia="仿宋_GB2312"/>
                <w:sz w:val="18"/>
                <w:szCs w:val="18"/>
              </w:rPr>
            </w:pP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shd w:val="clear" w:color="auto" w:fill="auto"/>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shd w:val="clear" w:color="auto" w:fill="auto"/>
            <w:noWrap w:val="0"/>
            <w:vAlign w:val="center"/>
          </w:tcPr>
          <w:p>
            <w:pPr>
              <w:spacing w:line="240" w:lineRule="exact"/>
              <w:rPr>
                <w:rFonts w:hint="eastAsia" w:ascii="仿宋_GB2312" w:eastAsia="仿宋_GB2312"/>
                <w:sz w:val="18"/>
                <w:szCs w:val="18"/>
                <w:lang w:eastAsia="zh-CN"/>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lang w:eastAsia="zh-CN"/>
              </w:rPr>
              <w:t>（广东省政府采购网）</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shd w:val="clear" w:color="auto" w:fill="auto"/>
            <w:noWrap w:val="0"/>
            <w:vAlign w:val="center"/>
          </w:tcPr>
          <w:p>
            <w:pPr>
              <w:rPr>
                <w:rFonts w:ascii="仿宋_GB2312" w:eastAsia="仿宋_GB2312"/>
                <w:sz w:val="18"/>
                <w:szCs w:val="18"/>
              </w:rPr>
            </w:pP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集中采购机构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shd w:val="clear" w:color="auto" w:fill="auto"/>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shd w:val="clear" w:color="auto" w:fill="auto"/>
            <w:noWrap w:val="0"/>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shd w:val="clear" w:color="auto" w:fill="auto"/>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shd w:val="clear" w:color="auto" w:fill="auto"/>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遂溪县财政局</w:t>
            </w:r>
          </w:p>
        </w:tc>
        <w:tc>
          <w:tcPr>
            <w:tcW w:w="1856" w:type="dxa"/>
            <w:vMerge w:val="restart"/>
            <w:shd w:val="clear" w:color="auto" w:fill="auto"/>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shd w:val="clear" w:color="auto" w:fill="auto"/>
            <w:noWrap w:val="0"/>
            <w:vAlign w:val="center"/>
          </w:tcPr>
          <w:p>
            <w:pPr>
              <w:jc w:val="center"/>
              <w:rPr>
                <w:rFonts w:hint="eastAsia" w:ascii="仿宋_GB2312" w:eastAsia="仿宋_GB2312"/>
                <w:sz w:val="18"/>
                <w:szCs w:val="18"/>
              </w:rPr>
            </w:pPr>
          </w:p>
        </w:tc>
        <w:tc>
          <w:tcPr>
            <w:tcW w:w="776"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shd w:val="clear" w:color="auto" w:fill="auto"/>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采购人</w:t>
            </w:r>
          </w:p>
        </w:tc>
        <w:tc>
          <w:tcPr>
            <w:tcW w:w="1856" w:type="dxa"/>
            <w:vMerge w:val="continue"/>
            <w:shd w:val="clear" w:color="auto" w:fill="auto"/>
            <w:noWrap w:val="0"/>
            <w:vAlign w:val="center"/>
          </w:tcPr>
          <w:p>
            <w:pPr>
              <w:rPr>
                <w:rFonts w:ascii="仿宋_GB2312" w:eastAsia="仿宋_GB2312"/>
                <w:sz w:val="18"/>
                <w:szCs w:val="18"/>
              </w:rPr>
            </w:pPr>
          </w:p>
        </w:tc>
        <w:tc>
          <w:tcPr>
            <w:tcW w:w="72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27</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国有土地使用权出让信息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土地出让计划</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明确国有建设用地供应指导思想和原则；提出国有建设用地供应政策导向；确定国有建设用地供应总量、结构、布局、时序和方式；落实计划供应的宗地；实施计划的保障措施。</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《国务院办公厅关于推进公共资源配置领域政府信息公开的意见》、《招标拍卖挂牌出让国有建设用地使用权规定》、《国有建设用地供应计划编制规范》（试行）</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每年3月31日前，公布年度国有建设用地供应计划</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各级自然资源管理部门网站</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28</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招标拍卖挂牌出让公告</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《国务院办公厅关于推进公共资源配置领域政府信息公开的意见》、《招标拍卖挂牌出让国有建设用地使用权规定》</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至少在投标、拍卖或者挂牌开始日前20日。挂牌时间不得少于10日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土地有形市场、媒介（一般指中国土地市场网、当地政府媒介）</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29</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国有土地使用权出让信息　</w:t>
            </w:r>
          </w:p>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公告调整</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公开国有建设用地使用权出让公告、项目概况、澄清或者修改事项、联系方式。</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《招标拍卖挂牌出让国有土地使用权规范》</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按原公告发布渠道及时发布补充公告，涉及土地使用条件变更等影响土地价格的重大变动，补充公告发布时间距招拍挂活动开始时间少于20日的，招拍挂活动相应顺延</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中国土地市场网或者土地有形市场等</w:t>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30</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招标拍卖挂牌出让结果（成交公示）</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土地位置、面积、用途、开发程度、土地级别、容积率、出让年限、供地方式、受让人、成交价格和成交时间等。</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《国务院办公厅关于推进公共资源配置领域政府信息公开的意见》、《招标拍卖挂牌出让国有建设用地使用权规定》、《招标拍卖挂牌出让国有土地使用权规范》</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招标拍卖挂牌活动结束后的10个工作日内</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土地有形市场或者指定的场所、媒介（一般指中国土地市场网、当地政府媒介）</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31</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供应结果</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国有建设用地使用权年度供应结果。</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及时公开</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各级自然资源管理部门网站</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32</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矿业权出让信息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招标拍卖挂牌出让公告</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《国务院办公厅关于推进公共资源配置领域政府信息公开的意见》、国土资源部关于印发矿业权交易规则》的通知、《自然资源部关于调整&lt;矿业权交易规则&gt;有关规定的通知》</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在投标截止日、公开拍卖日或者挂牌起始日20个工作日前发布。挂牌时间不得少于10个工作日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Calibri" w:eastAsia="仿宋_GB2312" w:cs="仿宋_GB2312"/>
                <w:kern w:val="2"/>
                <w:sz w:val="18"/>
                <w:szCs w:val="18"/>
                <w:bdr w:val="none" w:color="auto" w:sz="0" w:space="0"/>
                <w:lang w:val="en-US" w:eastAsia="zh-CN" w:bidi="ar"/>
              </w:rPr>
              <w:t>在下列平台同时发布：</w:t>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自然资源部门户网站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同级自然资源主管部门门户网站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矿业权交易平台交易大厅</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33</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招标拍卖挂牌成交结果公示</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《国务院办公厅关于推进公共资源配置领域政府信息公开的意见》、国土资源部关于印发矿业权交易规则》的通知</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发出中标通知书或者签订成交确认书后5个工作日内进行信息公示。公示期不少于10个工作日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Calibri" w:eastAsia="仿宋_GB2312" w:cs="仿宋_GB2312"/>
                <w:kern w:val="2"/>
                <w:sz w:val="18"/>
                <w:szCs w:val="18"/>
                <w:bdr w:val="none" w:color="auto" w:sz="0" w:space="0"/>
                <w:lang w:val="en-US" w:eastAsia="zh-CN" w:bidi="ar"/>
              </w:rPr>
              <w:t>在下列平台同时发布：</w:t>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自然资源部门户网站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同级自然资源主管部门门户网站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矿业权交易平台交易大厅</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34</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矿业权出让信息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审批结果信息</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每个项目的审批结果信息（交易完成后由各级自然资源管理部门审批）。</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信息形成之日起20个工作日内</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各级自然资源管理部门网站</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35</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项目信息</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公告有效期内矿业权基本信息包括矿业权名称、许可证号、矿业权人、矿种、有效期限。</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《政府信息公开条例》、《国务院办公厅关于推进公共资源配置领域政府信息公开的意见》</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每年第一季度集中公告</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各级自然资源管理部门网站</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36</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国有产权交易信息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国有企业产权转让信息预披露</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及时公开，正式披露信息时间不得少于20个工作日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产权交易机构网站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37</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国有产权交易信息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国有企业产权转让信息披露</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及时公开，正式披露信息时间不得少于20个工作日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产权交易机构网站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38</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国有企业产权转让成交公告</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交易标的名称、转让标的评估结果、转让底价、交易价格。</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及时公开，公告期不少于5个工作日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产权交易机构网站</w:t>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bookmarkStart w:id="0" w:name="_GoBack" w:colFirst="5" w:colLast="5"/>
            <w:r>
              <w:rPr>
                <w:rFonts w:hint="eastAsia" w:ascii="仿宋_GB2312" w:hAnsi="Calibri" w:eastAsia="仿宋_GB2312" w:cs="仿宋_GB2312"/>
                <w:kern w:val="2"/>
                <w:sz w:val="18"/>
                <w:szCs w:val="18"/>
                <w:bdr w:val="none" w:color="auto" w:sz="0" w:space="0"/>
                <w:lang w:val="en-US" w:eastAsia="zh-CN" w:bidi="ar"/>
              </w:rPr>
              <w:t>39</w:t>
            </w:r>
          </w:p>
        </w:tc>
        <w:tc>
          <w:tcPr>
            <w:tcW w:w="90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国有产权交易信息</w:t>
            </w: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国有企业资产转让信息披露</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标的基本情况、交易条件、转让底价、竞价方式、受让方选择的相关评判标准等。</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转让底价高于100万元、低于1000万元的资产转让项目，信息公告期应不少于10个工作日；转让底价高于1000万元的资产转让项目，信息公告期应不少于20个工作日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产权交易机构网站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40</w:t>
            </w:r>
          </w:p>
        </w:tc>
        <w:tc>
          <w:tcPr>
            <w:tcW w:w="90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eastAsia="宋体" w:cs="Times New Roman"/>
                <w:kern w:val="2"/>
                <w:sz w:val="21"/>
                <w:szCs w:val="22"/>
              </w:rPr>
            </w:pPr>
          </w:p>
        </w:tc>
        <w:tc>
          <w:tcPr>
            <w:tcW w:w="7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国有企业资产转让成交公告</w:t>
            </w:r>
          </w:p>
        </w:tc>
        <w:tc>
          <w:tcPr>
            <w:tcW w:w="336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交易标的名称、评估价格、转让底价、交易价格等。</w:t>
            </w:r>
          </w:p>
        </w:tc>
        <w:tc>
          <w:tcPr>
            <w:tcW w:w="23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《国务院办公厅关于推进公共资源配置领域政府信息公开的意见》、《企业国有资产交易监督管理办法》</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不少于5个工作日</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遂溪县自然资源局</w:t>
            </w:r>
          </w:p>
        </w:tc>
        <w:tc>
          <w:tcPr>
            <w:tcW w:w="18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产权交易机构网站</w:t>
            </w:r>
            <w:r>
              <w:rPr>
                <w:rFonts w:hint="eastAsia" w:ascii="仿宋_GB2312" w:hAnsi="Calibri" w:eastAsia="仿宋_GB2312" w:cs="仿宋_GB2312"/>
                <w:kern w:val="2"/>
                <w:sz w:val="18"/>
                <w:szCs w:val="18"/>
                <w:bdr w:val="none" w:color="auto" w:sz="0" w:space="0"/>
                <w:lang w:val="en-US" w:eastAsia="zh-CN" w:bidi="ar"/>
              </w:rPr>
              <w:br w:type="textWrapping"/>
            </w:r>
            <w:r>
              <w:rPr>
                <w:rFonts w:hint="eastAsia" w:ascii="仿宋_GB2312" w:hAnsi="宋体" w:eastAsia="仿宋_GB2312" w:cs="仿宋_GB2312"/>
                <w:kern w:val="2"/>
                <w:sz w:val="18"/>
                <w:szCs w:val="18"/>
                <w:bdr w:val="none" w:color="auto" w:sz="0" w:space="0"/>
                <w:lang w:val="en-US" w:eastAsia="zh-CN" w:bidi="ar"/>
              </w:rPr>
              <w:t>■</w:t>
            </w:r>
            <w:r>
              <w:rPr>
                <w:rFonts w:hint="eastAsia" w:ascii="仿宋_GB2312" w:hAnsi="Calibri" w:eastAsia="仿宋_GB2312" w:cs="仿宋_GB2312"/>
                <w:kern w:val="2"/>
                <w:sz w:val="18"/>
                <w:szCs w:val="18"/>
                <w:bdr w:val="none" w:color="auto" w:sz="0" w:space="0"/>
                <w:lang w:val="en-US" w:eastAsia="zh-CN" w:bidi="ar"/>
              </w:rPr>
              <w:t>公共资源交易平台</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c>
          <w:tcPr>
            <w:tcW w:w="7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bdr w:val="none" w:color="auto" w:sz="0" w:space="0"/>
                <w:lang w:val="en-US"/>
              </w:rPr>
            </w:pPr>
            <w:r>
              <w:rPr>
                <w:rFonts w:hint="eastAsia" w:ascii="仿宋_GB2312" w:hAnsi="Calibri" w:eastAsia="仿宋_GB2312" w:cs="仿宋_GB2312"/>
                <w:kern w:val="2"/>
                <w:sz w:val="18"/>
                <w:szCs w:val="18"/>
                <w:bdr w:val="none" w:color="auto" w:sz="0" w:space="0"/>
                <w:lang w:val="en-US" w:eastAsia="zh-CN" w:bidi="ar"/>
              </w:rPr>
              <w:t>　</w:t>
            </w:r>
          </w:p>
        </w:tc>
      </w:tr>
    </w:tbl>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18"/>
          <w:szCs w:val="18"/>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sz w:val="30"/>
          <w:szCs w:val="30"/>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sz w:val="30"/>
          <w:szCs w:val="30"/>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小标宋_GBK" w:cs="Times New Roman"/>
          <w:sz w:val="28"/>
          <w:szCs w:val="28"/>
          <w:lang w:val="en-US"/>
        </w:rPr>
      </w:pPr>
    </w:p>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方正小标宋_GBK">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fldChar w:fldCharType="begin"/>
    </w:r>
    <w:r>
      <w:rPr>
        <w:rStyle w:val="6"/>
      </w:rPr>
      <w:instrText xml:space="preserve"> PAGE </w:instrText>
    </w:r>
    <w:r>
      <w:fldChar w:fldCharType="separate"/>
    </w:r>
    <w:r>
      <w:rPr>
        <w:rStyle w:val="6"/>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6"/>
      </w:rPr>
      <w:instrText xml:space="preserve"> PAGE </w:instrText>
    </w:r>
    <w:r>
      <w:fldChar w:fldCharType="separate"/>
    </w:r>
    <w:r>
      <w:rPr>
        <w:rStyle w:val="6"/>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24DD4"/>
    <w:rsid w:val="00124DD4"/>
    <w:rsid w:val="001849C3"/>
    <w:rsid w:val="001C747D"/>
    <w:rsid w:val="00520597"/>
    <w:rsid w:val="120D6C94"/>
    <w:rsid w:val="1348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标题 1 Char"/>
    <w:basedOn w:val="5"/>
    <w:link w:val="2"/>
    <w:qFormat/>
    <w:uiPriority w:val="0"/>
    <w:rPr>
      <w:rFonts w:ascii="Calibri" w:hAnsi="Calibri" w:eastAsia="宋体" w:cs="Times New Roman"/>
      <w:b/>
      <w:bCs/>
      <w:kern w:val="44"/>
      <w:sz w:val="44"/>
      <w:szCs w:val="44"/>
    </w:rPr>
  </w:style>
  <w:style w:type="character" w:customStyle="1" w:styleId="8">
    <w:name w:val="页脚 Char"/>
    <w:basedOn w:val="5"/>
    <w:link w:val="3"/>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413</Words>
  <Characters>2359</Characters>
  <Lines>19</Lines>
  <Paragraphs>5</Paragraphs>
  <TotalTime>18</TotalTime>
  <ScaleCrop>false</ScaleCrop>
  <LinksUpToDate>false</LinksUpToDate>
  <CharactersWithSpaces>2767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2020-09-29T00:44:00Z</dcterms:created>
  <dc:creator>吴丽君</dc:creator>
  <cp:lastModifiedBy>吴丽君</cp:lastModifiedBy>
  <dcterms:modified xsi:type="dcterms:W3CDTF">2020-11-09T07:18:19Z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