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376"/>
        <w:jc w:val="center"/>
        <w:outlineLvl w:val="0"/>
        <w:rPr>
          <w:rFonts w:ascii="宋体" w:hAnsi="宋体" w:eastAsia="宋体" w:cs="Times New Roman"/>
          <w:color w:val="auto"/>
          <w:kern w:val="44"/>
          <w:sz w:val="84"/>
          <w:szCs w:val="84"/>
          <w:shd w:val="clear" w:color="auto" w:fill="FFFFFF"/>
        </w:rPr>
      </w:pPr>
    </w:p>
    <w:p>
      <w:pPr>
        <w:widowControl/>
        <w:spacing w:before="376"/>
        <w:jc w:val="center"/>
        <w:outlineLvl w:val="0"/>
        <w:rPr>
          <w:rFonts w:ascii="宋体" w:hAnsi="宋体" w:eastAsia="宋体" w:cs="Times New Roman"/>
          <w:b/>
          <w:bCs/>
          <w:color w:val="auto"/>
          <w:kern w:val="44"/>
          <w:sz w:val="72"/>
          <w:szCs w:val="72"/>
          <w:shd w:val="clear" w:color="auto" w:fill="FFFFFF"/>
        </w:rPr>
      </w:pPr>
      <w:r>
        <w:rPr>
          <w:rFonts w:ascii="宋体" w:hAnsi="宋体" w:eastAsia="宋体" w:cs="Times New Roman"/>
          <w:b/>
          <w:bCs/>
          <w:color w:val="auto"/>
          <w:kern w:val="44"/>
          <w:sz w:val="72"/>
          <w:szCs w:val="72"/>
          <w:shd w:val="clear" w:color="auto" w:fill="FFFFFF"/>
        </w:rPr>
        <w:t>2018年度</w:t>
      </w:r>
      <w:r>
        <w:rPr>
          <w:rFonts w:hint="eastAsia" w:ascii="宋体" w:hAnsi="宋体" w:eastAsia="宋体" w:cs="Times New Roman"/>
          <w:b/>
          <w:bCs/>
          <w:color w:val="auto"/>
          <w:kern w:val="44"/>
          <w:sz w:val="72"/>
          <w:szCs w:val="72"/>
          <w:shd w:val="clear" w:color="auto" w:fill="FFFFFF"/>
        </w:rPr>
        <w:t>遂溪县城月镇扶良小学</w:t>
      </w:r>
      <w:r>
        <w:rPr>
          <w:rFonts w:hint="eastAsia" w:ascii="宋体" w:hAnsi="宋体" w:eastAsia="宋体" w:cs="Times New Roman"/>
          <w:b/>
          <w:bCs/>
          <w:color w:val="auto"/>
          <w:kern w:val="44"/>
          <w:sz w:val="72"/>
          <w:szCs w:val="72"/>
          <w:shd w:val="clear" w:color="auto" w:fill="FFFFFF"/>
        </w:rPr>
        <w:t>部门预算</w:t>
      </w:r>
    </w:p>
    <w:p>
      <w:pPr>
        <w:widowControl/>
        <w:jc w:val="center"/>
        <w:outlineLvl w:val="0"/>
        <w:rPr>
          <w:rFonts w:ascii="仿宋_GB2312" w:hAnsi="仿宋_GB2312" w:eastAsia="仿宋_GB2312" w:cs="仿宋_GB2312"/>
          <w:b/>
          <w:bCs/>
          <w:color w:val="auto"/>
          <w:sz w:val="32"/>
          <w:szCs w:val="32"/>
          <w:shd w:val="clear" w:color="auto" w:fill="FFFFFF"/>
        </w:rPr>
      </w:pPr>
      <w:r>
        <w:rPr>
          <w:rFonts w:hint="eastAsia" w:ascii="宋体" w:hAnsi="宋体" w:eastAsia="宋体" w:cs="Times New Roman"/>
          <w:color w:val="auto"/>
          <w:kern w:val="44"/>
          <w:sz w:val="24"/>
          <w:szCs w:val="24"/>
          <w:shd w:val="clear" w:color="auto" w:fill="FFFFFF"/>
        </w:rPr>
        <w:br w:type="page"/>
      </w:r>
      <w:r>
        <w:rPr>
          <w:rFonts w:hint="eastAsia" w:ascii="仿宋_GB2312" w:hAnsi="仿宋_GB2312" w:eastAsia="仿宋_GB2312" w:cs="仿宋_GB2312"/>
          <w:b/>
          <w:bCs/>
          <w:color w:val="auto"/>
          <w:sz w:val="32"/>
          <w:szCs w:val="32"/>
          <w:shd w:val="clear" w:color="auto" w:fill="FFFFFF"/>
          <w:lang w:bidi="ar"/>
        </w:rPr>
        <w:t>目录</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第一部分 学校概况</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一、部门基本情况</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 xml:space="preserve">二、人员构成情况 </w:t>
      </w:r>
      <w:bookmarkStart w:id="0" w:name="_GoBack"/>
      <w:bookmarkEnd w:id="0"/>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第二部分 2018年部门预算表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一、收支总体情况表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二、收入总体情况表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三、支出总体情况表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四、财政拨款收支总体情况表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五、一般公共预算支出情况表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六、一般公共预算基本支出情况表（按支出经济分类科目）</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七、一般公共预算基本支出情况表（按部门经济分类科目）</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八、一般公共预算项目支出情况表（按政府支出经济分类科目）</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九、一般公共预算项目支出情况表（按部门支出经济分类科目）</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十、一般公共预算“三公”经费预算表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十一、政府性基金预算支出情况表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十二、部门预算基本支出预算表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十三、部门预算项目支出及其他支出预算表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第三部分 2018年部门预算情况说明</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第四部分 名词解释</w:t>
      </w:r>
    </w:p>
    <w:p>
      <w:pPr>
        <w:widowControl/>
        <w:spacing w:line="432" w:lineRule="auto"/>
        <w:jc w:val="center"/>
        <w:rPr>
          <w:rFonts w:ascii="仿宋_GB2312" w:hAnsi="仿宋_GB2312" w:eastAsia="仿宋_GB2312" w:cs="仿宋_GB2312"/>
          <w:b/>
          <w:bCs/>
          <w:color w:val="auto"/>
          <w:sz w:val="32"/>
          <w:szCs w:val="32"/>
          <w:shd w:val="clear" w:color="auto" w:fill="FFFFFF"/>
          <w:lang w:bidi="ar"/>
        </w:rPr>
      </w:pPr>
      <w:r>
        <w:rPr>
          <w:rFonts w:hint="eastAsia" w:ascii="仿宋_GB2312" w:hAnsi="仿宋_GB2312" w:eastAsia="仿宋_GB2312" w:cs="仿宋_GB2312"/>
          <w:b/>
          <w:bCs/>
          <w:color w:val="auto"/>
          <w:sz w:val="32"/>
          <w:szCs w:val="32"/>
          <w:shd w:val="clear" w:color="auto" w:fill="FFFFFF"/>
          <w:lang w:bidi="ar"/>
        </w:rPr>
        <w:t>第一部分  学校概况</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一、部门基本情况</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（一）部门主要职责及机构设置情况</w:t>
      </w:r>
    </w:p>
    <w:p>
      <w:pPr>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本单位内设3个机构：教导处、政教处、总务处。</w:t>
      </w:r>
    </w:p>
    <w:p>
      <w:pPr>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职能：1.在校长室领导下，组织全校教育教学工作，对教导处工作全面负责，协助校长室贯彻执行教学计划、教学大纲、教育教学理论学习工作、贯彻执行本校和上级有关教学工作的文件精神，不断提高教学质量。制定全校教学工作计划，制定教学常规，建立正常的教学秩序，期末对教学工作进行总结。管理学生的学籍，并健全学籍档案。编制全校课程表和全校作息时间表。负责管理实验室、电脑室、图书馆、文印室和电教室，努力提高各室工作效率。2、在校党支部及校长室领导下，全面负责学生的思想政治教育工作。根据我校实行以年级组为管理实体的特点，在日常政治思想教育工作中。</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（二）人员构成情况</w:t>
      </w:r>
    </w:p>
    <w:p>
      <w:pPr>
        <w:widowControl/>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本单位共有财政供养人员18人。其中，在职17人，退休1人，雇用后勤人员0人，遗属供养0人。</w:t>
      </w:r>
    </w:p>
    <w:p>
      <w:pPr>
        <w:widowControl/>
        <w:jc w:val="center"/>
        <w:rPr>
          <w:rFonts w:ascii="仿宋_GB2312" w:hAnsi="仿宋_GB2312" w:eastAsia="仿宋_GB2312" w:cs="仿宋_GB2312"/>
          <w:b/>
          <w:bCs/>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br w:type="page"/>
      </w:r>
      <w:r>
        <w:rPr>
          <w:rFonts w:hint="eastAsia" w:ascii="仿宋_GB2312" w:hAnsi="仿宋_GB2312" w:eastAsia="仿宋_GB2312" w:cs="仿宋_GB2312"/>
          <w:b/>
          <w:bCs/>
          <w:color w:val="auto"/>
          <w:sz w:val="32"/>
          <w:szCs w:val="32"/>
          <w:shd w:val="clear" w:color="auto" w:fill="FFFFFF"/>
          <w:lang w:bidi="ar"/>
        </w:rPr>
        <w:t>第二部分  2018年部门预算表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一、收支总体情况表</w:t>
      </w:r>
    </w:p>
    <w:tbl>
      <w:tblPr>
        <w:tblStyle w:val="9"/>
        <w:tblW w:w="9671" w:type="dxa"/>
        <w:jc w:val="center"/>
        <w:tblInd w:w="0" w:type="dxa"/>
        <w:tblLayout w:type="fixed"/>
        <w:tblCellMar>
          <w:top w:w="15" w:type="dxa"/>
          <w:left w:w="15" w:type="dxa"/>
          <w:bottom w:w="15" w:type="dxa"/>
          <w:right w:w="15" w:type="dxa"/>
        </w:tblCellMar>
      </w:tblPr>
      <w:tblGrid>
        <w:gridCol w:w="271"/>
        <w:gridCol w:w="866"/>
        <w:gridCol w:w="1202"/>
        <w:gridCol w:w="1212"/>
        <w:gridCol w:w="1388"/>
        <w:gridCol w:w="1217"/>
        <w:gridCol w:w="1355"/>
        <w:gridCol w:w="958"/>
        <w:gridCol w:w="138"/>
        <w:gridCol w:w="1064"/>
      </w:tblGrid>
      <w:tr>
        <w:tblPrEx>
          <w:tblLayout w:type="fixed"/>
          <w:tblCellMar>
            <w:top w:w="15" w:type="dxa"/>
            <w:left w:w="15" w:type="dxa"/>
            <w:bottom w:w="15" w:type="dxa"/>
            <w:right w:w="15" w:type="dxa"/>
          </w:tblCellMar>
        </w:tblPrEx>
        <w:trPr>
          <w:gridBefore w:val="1"/>
          <w:wBefore w:w="271" w:type="dxa"/>
          <w:trHeight w:val="574" w:hRule="atLeast"/>
          <w:jc w:val="center"/>
        </w:trPr>
        <w:tc>
          <w:tcPr>
            <w:tcW w:w="866" w:type="dxa"/>
            <w:tcBorders>
              <w:bottom w:val="single" w:color="000000" w:sz="4" w:space="0"/>
            </w:tcBorders>
            <w:vAlign w:val="bottom"/>
          </w:tcPr>
          <w:p>
            <w:pPr>
              <w:jc w:val="right"/>
              <w:rPr>
                <w:rFonts w:ascii="宋体" w:hAnsi="宋体" w:eastAsia="宋体" w:cs="宋体"/>
                <w:color w:val="auto"/>
                <w:sz w:val="18"/>
                <w:szCs w:val="18"/>
              </w:rPr>
            </w:pPr>
            <w:r>
              <w:rPr>
                <w:rFonts w:hint="eastAsia" w:ascii="宋体" w:hAnsi="宋体" w:eastAsia="宋体" w:cs="宋体"/>
                <w:color w:val="auto"/>
                <w:sz w:val="18"/>
                <w:szCs w:val="18"/>
              </w:rPr>
              <w:t>单位：</w:t>
            </w:r>
          </w:p>
        </w:tc>
        <w:tc>
          <w:tcPr>
            <w:tcW w:w="2414" w:type="dxa"/>
            <w:gridSpan w:val="2"/>
            <w:tcBorders>
              <w:bottom w:val="single" w:color="000000" w:sz="4" w:space="0"/>
            </w:tcBorders>
            <w:vAlign w:val="bottom"/>
          </w:tcPr>
          <w:p>
            <w:pPr>
              <w:widowControl/>
              <w:jc w:val="lef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遂溪县城月镇扶良小学</w:t>
            </w:r>
          </w:p>
        </w:tc>
        <w:tc>
          <w:tcPr>
            <w:tcW w:w="1388" w:type="dxa"/>
            <w:tcBorders>
              <w:bottom w:val="single" w:color="000000" w:sz="4" w:space="0"/>
            </w:tcBorders>
            <w:vAlign w:val="bottom"/>
          </w:tcPr>
          <w:p>
            <w:pPr>
              <w:jc w:val="center"/>
              <w:rPr>
                <w:rFonts w:ascii="宋体" w:hAnsi="宋体" w:eastAsia="宋体" w:cs="宋体"/>
                <w:color w:val="auto"/>
                <w:sz w:val="18"/>
                <w:szCs w:val="18"/>
              </w:rPr>
            </w:pPr>
          </w:p>
        </w:tc>
        <w:tc>
          <w:tcPr>
            <w:tcW w:w="1217" w:type="dxa"/>
            <w:tcBorders>
              <w:bottom w:val="single" w:color="000000" w:sz="4" w:space="0"/>
            </w:tcBorders>
            <w:vAlign w:val="bottom"/>
          </w:tcPr>
          <w:p>
            <w:pPr>
              <w:jc w:val="center"/>
              <w:rPr>
                <w:rFonts w:ascii="宋体" w:hAnsi="宋体" w:eastAsia="宋体" w:cs="宋体"/>
                <w:color w:val="auto"/>
                <w:sz w:val="18"/>
                <w:szCs w:val="18"/>
              </w:rPr>
            </w:pPr>
          </w:p>
        </w:tc>
        <w:tc>
          <w:tcPr>
            <w:tcW w:w="1355" w:type="dxa"/>
            <w:tcBorders>
              <w:bottom w:val="single" w:color="000000" w:sz="4" w:space="0"/>
            </w:tcBorders>
            <w:vAlign w:val="bottom"/>
          </w:tcPr>
          <w:p>
            <w:pPr>
              <w:jc w:val="center"/>
              <w:rPr>
                <w:rFonts w:ascii="宋体" w:hAnsi="宋体" w:eastAsia="宋体" w:cs="宋体"/>
                <w:color w:val="auto"/>
                <w:sz w:val="18"/>
                <w:szCs w:val="18"/>
              </w:rPr>
            </w:pPr>
          </w:p>
        </w:tc>
        <w:tc>
          <w:tcPr>
            <w:tcW w:w="958" w:type="dxa"/>
            <w:tcBorders>
              <w:bottom w:val="single" w:color="000000" w:sz="4" w:space="0"/>
            </w:tcBorders>
            <w:vAlign w:val="bottom"/>
          </w:tcPr>
          <w:p>
            <w:pPr>
              <w:jc w:val="center"/>
              <w:rPr>
                <w:rFonts w:ascii="宋体" w:hAnsi="宋体" w:eastAsia="宋体" w:cs="宋体"/>
                <w:color w:val="auto"/>
                <w:sz w:val="18"/>
                <w:szCs w:val="18"/>
              </w:rPr>
            </w:pPr>
          </w:p>
        </w:tc>
        <w:tc>
          <w:tcPr>
            <w:tcW w:w="1202" w:type="dxa"/>
            <w:gridSpan w:val="2"/>
            <w:tcBorders>
              <w:bottom w:val="single" w:color="000000" w:sz="4" w:space="0"/>
            </w:tcBorders>
            <w:vAlign w:val="bottom"/>
          </w:tcPr>
          <w:p>
            <w:pPr>
              <w:widowControl/>
              <w:jc w:val="righ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单位：元</w:t>
            </w:r>
          </w:p>
        </w:tc>
      </w:tr>
      <w:tr>
        <w:tblPrEx>
          <w:tblLayout w:type="fixed"/>
          <w:tblCellMar>
            <w:top w:w="15" w:type="dxa"/>
            <w:left w:w="15" w:type="dxa"/>
            <w:bottom w:w="15" w:type="dxa"/>
            <w:right w:w="15" w:type="dxa"/>
          </w:tblCellMar>
        </w:tblPrEx>
        <w:trPr>
          <w:gridBefore w:val="1"/>
          <w:wBefore w:w="271" w:type="dxa"/>
          <w:trHeight w:val="481" w:hRule="atLeast"/>
          <w:jc w:val="center"/>
        </w:trPr>
        <w:tc>
          <w:tcPr>
            <w:tcW w:w="206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收  入</w:t>
            </w:r>
          </w:p>
        </w:tc>
        <w:tc>
          <w:tcPr>
            <w:tcW w:w="26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  出</w:t>
            </w:r>
          </w:p>
        </w:tc>
        <w:tc>
          <w:tcPr>
            <w:tcW w:w="257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  出</w:t>
            </w:r>
          </w:p>
        </w:tc>
        <w:tc>
          <w:tcPr>
            <w:tcW w:w="21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  出</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c>
          <w:tcPr>
            <w:tcW w:w="12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项目（部门经济分类）</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c>
          <w:tcPr>
            <w:tcW w:w="12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项目（政府经济分类）</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项目（功能科目）</w:t>
            </w:r>
          </w:p>
        </w:tc>
        <w:tc>
          <w:tcPr>
            <w:tcW w:w="10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一、预算拨款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一、基本支出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一、机关工资福利支出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1095352.00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一、一般公共服务支出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一般公共预算拨款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工资福利支出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1197556.00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二、机关商品和服务支出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82250.00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二、外交支出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政府性基金预算拨款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对个人和家庭补助支出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142050.00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三、机关资本性支出（一）</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三、国防支出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二、预算外资金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商品和服务支出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92250.00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四、机关资本性支出（二）</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四、公共安全支出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行政事业性收费收入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其他资本性支出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五、对事业单位经常性补助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102204.00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五、教育</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1289788.00</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主管部门集中收入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二、项目支出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六、对事业单位资本性补助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六、科学技术支出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957"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纳入预算外管理基金收入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商品和服务支出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七、对企业补助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七、文化体育与传媒支出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其他预算资金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对个人和家庭补助支出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八、对企业资本性支出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八、社会保障和就业支出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对企事业单位的补贴</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九、对个人和家庭的补助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142050.00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九、社会保险基金支出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债务利息支出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十、对社会保障基金支出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十、医疗卫生与计划生育支出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基本建设支出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十一、债务利息及费用支出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十一、节能环保支出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其他资本性支出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十二、债务还本支出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十二、城乡社区支出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其他支出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十三、转移性支出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十三、农林水支出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957"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三、事业收入（不含预    算外资金）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三、事业单位经营支出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十四、预备费及预留</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十四、交通运输支出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四、单位经营服务性收入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四、对附属单位补助支出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十五、其他支出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十五、资源勘探电力信息等支出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五、其他收入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五、上缴上级支出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十六、商业服务业等支出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六、上级补助收入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六、结转下年</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十七、金融支出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七、附属单位上缴收入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十八、援助其他地区支出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957"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八、用事业基金弥补收支差额</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十九、国土海洋气象等支出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九、上年结转、结余</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二十、住房保障支出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142068.00</w:t>
            </w: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二十一、粮油物资储备支出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48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二十二、预备费</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二十三、国债还本付息支出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二十四、其他支出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二十五、转移性支出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二十六、债务还本支出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二十七、债务付息支出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二十八、债务发行费用支出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422"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color w:val="auto"/>
                <w:sz w:val="18"/>
                <w:szCs w:val="18"/>
              </w:rPr>
            </w:pPr>
          </w:p>
        </w:tc>
        <w:tc>
          <w:tcPr>
            <w:tcW w:w="1064"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476"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收入合计</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支出合计</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支出合计</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二、收入总体情况表</w:t>
      </w:r>
    </w:p>
    <w:tbl>
      <w:tblPr>
        <w:tblStyle w:val="9"/>
        <w:tblW w:w="6029" w:type="dxa"/>
        <w:jc w:val="center"/>
        <w:tblInd w:w="0" w:type="dxa"/>
        <w:tblLayout w:type="fixed"/>
        <w:tblCellMar>
          <w:top w:w="15" w:type="dxa"/>
          <w:left w:w="15" w:type="dxa"/>
          <w:bottom w:w="15" w:type="dxa"/>
          <w:right w:w="15" w:type="dxa"/>
        </w:tblCellMar>
      </w:tblPr>
      <w:tblGrid>
        <w:gridCol w:w="3299"/>
        <w:gridCol w:w="2730"/>
      </w:tblGrid>
      <w:tr>
        <w:tblPrEx>
          <w:tblLayout w:type="fixed"/>
          <w:tblCellMar>
            <w:top w:w="15" w:type="dxa"/>
            <w:left w:w="15" w:type="dxa"/>
            <w:bottom w:w="15" w:type="dxa"/>
            <w:right w:w="15" w:type="dxa"/>
          </w:tblCellMar>
        </w:tblPrEx>
        <w:trPr>
          <w:trHeight w:val="450" w:hRule="atLeast"/>
          <w:jc w:val="center"/>
        </w:trPr>
        <w:tc>
          <w:tcPr>
            <w:tcW w:w="3299" w:type="dxa"/>
            <w:vAlign w:val="bottom"/>
          </w:tcPr>
          <w:p>
            <w:pPr>
              <w:rPr>
                <w:rFonts w:ascii="宋体" w:hAnsi="宋体" w:eastAsia="宋体" w:cs="宋体"/>
                <w:color w:val="auto"/>
                <w:sz w:val="18"/>
                <w:szCs w:val="18"/>
              </w:rPr>
            </w:pPr>
          </w:p>
        </w:tc>
        <w:tc>
          <w:tcPr>
            <w:tcW w:w="2730"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单位：元</w:t>
            </w:r>
          </w:p>
        </w:tc>
      </w:tr>
      <w:tr>
        <w:tblPrEx>
          <w:tblLayout w:type="fixed"/>
          <w:tblCellMar>
            <w:top w:w="15" w:type="dxa"/>
            <w:left w:w="15" w:type="dxa"/>
            <w:bottom w:w="15" w:type="dxa"/>
            <w:right w:w="15" w:type="dxa"/>
          </w:tblCellMar>
        </w:tblPrEx>
        <w:trPr>
          <w:trHeight w:val="285" w:hRule="atLeast"/>
          <w:jc w:val="center"/>
        </w:trPr>
        <w:tc>
          <w:tcPr>
            <w:tcW w:w="3299" w:type="dxa"/>
            <w:shd w:val="clear" w:color="auto" w:fill="auto"/>
            <w:vAlign w:val="bottom"/>
          </w:tcPr>
          <w:p>
            <w:pPr>
              <w:widowControl/>
              <w:jc w:val="lef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单位：遂溪县城月镇扶良小学</w:t>
            </w:r>
          </w:p>
        </w:tc>
        <w:tc>
          <w:tcPr>
            <w:tcW w:w="2730" w:type="dxa"/>
            <w:shd w:val="clear" w:color="auto" w:fill="CCCCFF"/>
            <w:vAlign w:val="bottom"/>
          </w:tcPr>
          <w:p>
            <w:pPr>
              <w:jc w:val="lef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2730"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一、预算拨款</w:t>
            </w:r>
          </w:p>
        </w:tc>
        <w:tc>
          <w:tcPr>
            <w:tcW w:w="273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一般预算拨款</w:t>
            </w:r>
          </w:p>
        </w:tc>
        <w:tc>
          <w:tcPr>
            <w:tcW w:w="2730" w:type="dxa"/>
            <w:tcBorders>
              <w:top w:val="single" w:color="000000" w:sz="4" w:space="0"/>
              <w:left w:val="single" w:color="000000" w:sz="4" w:space="0"/>
              <w:right w:val="single" w:color="000000" w:sz="4" w:space="0"/>
            </w:tcBorders>
            <w:vAlign w:val="bottom"/>
          </w:tcPr>
          <w:p>
            <w:pPr>
              <w:widowControl/>
              <w:jc w:val="righ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基金预算拨款</w:t>
            </w:r>
          </w:p>
        </w:tc>
        <w:tc>
          <w:tcPr>
            <w:tcW w:w="2730"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二、预算外资金</w:t>
            </w:r>
          </w:p>
        </w:tc>
        <w:tc>
          <w:tcPr>
            <w:tcW w:w="2730" w:type="dxa"/>
            <w:tcBorders>
              <w:left w:val="single" w:color="000000" w:sz="4" w:space="0"/>
              <w:right w:val="single" w:color="000000" w:sz="4" w:space="0"/>
            </w:tcBorders>
            <w:vAlign w:val="bottom"/>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行政事业性收费收入</w:t>
            </w:r>
          </w:p>
        </w:tc>
        <w:tc>
          <w:tcPr>
            <w:tcW w:w="2730" w:type="dxa"/>
            <w:tcBorders>
              <w:top w:val="single" w:color="000000" w:sz="4" w:space="0"/>
              <w:left w:val="single" w:color="000000" w:sz="4" w:space="0"/>
              <w:right w:val="single" w:color="000000" w:sz="4" w:space="0"/>
            </w:tcBorders>
            <w:vAlign w:val="bottom"/>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主管部门集中收入</w:t>
            </w:r>
          </w:p>
        </w:tc>
        <w:tc>
          <w:tcPr>
            <w:tcW w:w="2730" w:type="dxa"/>
            <w:tcBorders>
              <w:top w:val="single" w:color="000000" w:sz="4" w:space="0"/>
              <w:left w:val="single" w:color="000000" w:sz="4" w:space="0"/>
              <w:right w:val="single" w:color="000000" w:sz="4" w:space="0"/>
            </w:tcBorders>
            <w:vAlign w:val="bottom"/>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纳入预算外管理基金收入</w:t>
            </w:r>
          </w:p>
        </w:tc>
        <w:tc>
          <w:tcPr>
            <w:tcW w:w="2730" w:type="dxa"/>
            <w:tcBorders>
              <w:top w:val="single" w:color="000000" w:sz="4" w:space="0"/>
              <w:left w:val="single" w:color="000000" w:sz="4" w:space="0"/>
              <w:right w:val="single" w:color="000000" w:sz="4" w:space="0"/>
            </w:tcBorders>
            <w:vAlign w:val="bottom"/>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其他预算外资金</w:t>
            </w:r>
          </w:p>
        </w:tc>
        <w:tc>
          <w:tcPr>
            <w:tcW w:w="2730"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三、事业收入（不含预算外资金）</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四、单位经营服务性收入</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五、其他收入</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六、上级补助收入</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七、附属单位上缴收入</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八、用事业基金弥补收支差额</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九、上年结转、结余</w:t>
            </w: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收入总计</w:t>
            </w:r>
          </w:p>
        </w:tc>
        <w:tc>
          <w:tcPr>
            <w:tcW w:w="27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三、支出总体情况表</w:t>
      </w:r>
    </w:p>
    <w:tbl>
      <w:tblPr>
        <w:tblStyle w:val="9"/>
        <w:tblW w:w="10120" w:type="dxa"/>
        <w:jc w:val="center"/>
        <w:tblInd w:w="0" w:type="dxa"/>
        <w:tblLayout w:type="fixed"/>
        <w:tblCellMar>
          <w:top w:w="15" w:type="dxa"/>
          <w:left w:w="15" w:type="dxa"/>
          <w:bottom w:w="15" w:type="dxa"/>
          <w:right w:w="15" w:type="dxa"/>
        </w:tblCellMar>
      </w:tblPr>
      <w:tblGrid>
        <w:gridCol w:w="1422"/>
        <w:gridCol w:w="1110"/>
        <w:gridCol w:w="1100"/>
        <w:gridCol w:w="1018"/>
        <w:gridCol w:w="840"/>
        <w:gridCol w:w="1080"/>
        <w:gridCol w:w="757"/>
        <w:gridCol w:w="530"/>
        <w:gridCol w:w="623"/>
        <w:gridCol w:w="403"/>
        <w:gridCol w:w="714"/>
        <w:gridCol w:w="523"/>
      </w:tblGrid>
      <w:tr>
        <w:tblPrEx>
          <w:tblLayout w:type="fixed"/>
          <w:tblCellMar>
            <w:top w:w="15" w:type="dxa"/>
            <w:left w:w="15" w:type="dxa"/>
            <w:bottom w:w="15" w:type="dxa"/>
            <w:right w:w="15" w:type="dxa"/>
          </w:tblCellMar>
        </w:tblPrEx>
        <w:trPr>
          <w:trHeight w:val="1282" w:hRule="atLeast"/>
          <w:jc w:val="center"/>
        </w:trPr>
        <w:tc>
          <w:tcPr>
            <w:tcW w:w="4650" w:type="dxa"/>
            <w:gridSpan w:val="4"/>
            <w:tcBorders>
              <w:bottom w:val="single" w:color="000000" w:sz="4" w:space="0"/>
            </w:tcBorders>
            <w:vAlign w:val="bottom"/>
          </w:tcPr>
          <w:p>
            <w:pPr>
              <w:widowControl/>
              <w:textAlignment w:val="bottom"/>
              <w:rPr>
                <w:rFonts w:ascii="宋体" w:hAnsi="宋体" w:eastAsia="宋体" w:cs="宋体"/>
                <w:b/>
                <w:color w:val="auto"/>
                <w:sz w:val="20"/>
                <w:szCs w:val="20"/>
              </w:rPr>
            </w:pPr>
            <w:r>
              <w:rPr>
                <w:rFonts w:hint="eastAsia" w:ascii="宋体" w:hAnsi="宋体" w:eastAsia="宋体" w:cs="宋体"/>
                <w:b/>
                <w:color w:val="auto"/>
                <w:kern w:val="0"/>
                <w:sz w:val="18"/>
                <w:szCs w:val="18"/>
                <w:lang w:bidi="ar"/>
              </w:rPr>
              <w:t>单位：</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840" w:type="dxa"/>
            <w:vAlign w:val="bottom"/>
          </w:tcPr>
          <w:p>
            <w:pPr>
              <w:rPr>
                <w:rFonts w:ascii="宋体" w:hAnsi="宋体" w:eastAsia="宋体" w:cs="宋体"/>
                <w:b/>
                <w:color w:val="auto"/>
                <w:sz w:val="20"/>
                <w:szCs w:val="20"/>
              </w:rPr>
            </w:pPr>
          </w:p>
        </w:tc>
        <w:tc>
          <w:tcPr>
            <w:tcW w:w="1080" w:type="dxa"/>
            <w:vAlign w:val="bottom"/>
          </w:tcPr>
          <w:p>
            <w:pPr>
              <w:rPr>
                <w:rFonts w:ascii="宋体" w:hAnsi="宋体" w:eastAsia="宋体" w:cs="宋体"/>
                <w:color w:val="auto"/>
                <w:sz w:val="18"/>
                <w:szCs w:val="18"/>
              </w:rPr>
            </w:pPr>
          </w:p>
        </w:tc>
        <w:tc>
          <w:tcPr>
            <w:tcW w:w="757" w:type="dxa"/>
            <w:vAlign w:val="bottom"/>
          </w:tcPr>
          <w:p>
            <w:pPr>
              <w:jc w:val="center"/>
              <w:rPr>
                <w:rFonts w:ascii="宋体" w:hAnsi="宋体" w:eastAsia="宋体" w:cs="宋体"/>
                <w:color w:val="auto"/>
                <w:sz w:val="18"/>
                <w:szCs w:val="18"/>
              </w:rPr>
            </w:pPr>
          </w:p>
        </w:tc>
        <w:tc>
          <w:tcPr>
            <w:tcW w:w="530" w:type="dxa"/>
            <w:vAlign w:val="bottom"/>
          </w:tcPr>
          <w:p>
            <w:pPr>
              <w:jc w:val="center"/>
              <w:rPr>
                <w:rFonts w:ascii="宋体" w:hAnsi="宋体" w:eastAsia="宋体" w:cs="宋体"/>
                <w:color w:val="auto"/>
                <w:sz w:val="18"/>
                <w:szCs w:val="18"/>
              </w:rPr>
            </w:pPr>
          </w:p>
        </w:tc>
        <w:tc>
          <w:tcPr>
            <w:tcW w:w="623" w:type="dxa"/>
            <w:vAlign w:val="bottom"/>
          </w:tcPr>
          <w:p>
            <w:pPr>
              <w:jc w:val="center"/>
              <w:rPr>
                <w:rFonts w:ascii="宋体" w:hAnsi="宋体" w:eastAsia="宋体" w:cs="宋体"/>
                <w:color w:val="auto"/>
                <w:sz w:val="18"/>
                <w:szCs w:val="18"/>
              </w:rPr>
            </w:pPr>
          </w:p>
        </w:tc>
        <w:tc>
          <w:tcPr>
            <w:tcW w:w="1640" w:type="dxa"/>
            <w:gridSpan w:val="3"/>
            <w:vAlign w:val="bottom"/>
          </w:tcPr>
          <w:p>
            <w:pPr>
              <w:widowControl/>
              <w:jc w:val="right"/>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单位：元</w:t>
            </w:r>
          </w:p>
        </w:tc>
      </w:tr>
      <w:tr>
        <w:tblPrEx>
          <w:tblLayout w:type="fixed"/>
          <w:tblCellMar>
            <w:top w:w="15" w:type="dxa"/>
            <w:left w:w="15" w:type="dxa"/>
            <w:bottom w:w="15" w:type="dxa"/>
            <w:right w:w="15" w:type="dxa"/>
          </w:tblCellMar>
        </w:tblPrEx>
        <w:trPr>
          <w:trHeight w:val="559" w:hRule="atLeast"/>
          <w:jc w:val="center"/>
        </w:trPr>
        <w:tc>
          <w:tcPr>
            <w:tcW w:w="142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功能科目名称</w:t>
            </w:r>
          </w:p>
        </w:tc>
        <w:tc>
          <w:tcPr>
            <w:tcW w:w="1110"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总计</w:t>
            </w:r>
          </w:p>
        </w:tc>
        <w:tc>
          <w:tcPr>
            <w:tcW w:w="4038"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一般公共预算拨款</w:t>
            </w:r>
          </w:p>
        </w:tc>
        <w:tc>
          <w:tcPr>
            <w:tcW w:w="75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基金预算拨款</w:t>
            </w:r>
          </w:p>
        </w:tc>
        <w:tc>
          <w:tcPr>
            <w:tcW w:w="530" w:type="dxa"/>
            <w:vMerge w:val="restart"/>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国有资本经营预算拨款</w:t>
            </w:r>
          </w:p>
        </w:tc>
        <w:tc>
          <w:tcPr>
            <w:tcW w:w="62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财政专户拨款</w:t>
            </w:r>
          </w:p>
        </w:tc>
        <w:tc>
          <w:tcPr>
            <w:tcW w:w="1640" w:type="dxa"/>
            <w:gridSpan w:val="3"/>
            <w:tcBorders>
              <w:top w:val="single" w:color="000000" w:sz="4" w:space="0"/>
              <w:left w:val="single" w:color="000000" w:sz="4" w:space="0"/>
              <w:right w:val="single" w:color="000000" w:sz="4" w:space="0"/>
            </w:tcBorders>
            <w:vAlign w:val="bottom"/>
          </w:tcPr>
          <w:p>
            <w:pPr>
              <w:widowControl/>
              <w:jc w:val="center"/>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其他资金</w:t>
            </w:r>
          </w:p>
        </w:tc>
      </w:tr>
      <w:tr>
        <w:tblPrEx>
          <w:tblLayout w:type="fixed"/>
          <w:tblCellMar>
            <w:top w:w="15" w:type="dxa"/>
            <w:left w:w="15" w:type="dxa"/>
            <w:bottom w:w="15" w:type="dxa"/>
            <w:right w:w="15" w:type="dxa"/>
          </w:tblCellMar>
        </w:tblPrEx>
        <w:trPr>
          <w:trHeight w:val="559" w:hRule="atLeast"/>
          <w:jc w:val="center"/>
        </w:trPr>
        <w:tc>
          <w:tcPr>
            <w:tcW w:w="14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110"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4038"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7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530" w:type="dxa"/>
            <w:vMerge w:val="continue"/>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color w:val="auto"/>
                <w:sz w:val="20"/>
                <w:szCs w:val="20"/>
              </w:rPr>
            </w:pPr>
          </w:p>
        </w:tc>
        <w:tc>
          <w:tcPr>
            <w:tcW w:w="6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403" w:type="dxa"/>
            <w:vMerge w:val="restart"/>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事业收入</w:t>
            </w:r>
          </w:p>
        </w:tc>
        <w:tc>
          <w:tcPr>
            <w:tcW w:w="714" w:type="dxa"/>
            <w:vMerge w:val="restart"/>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事业单位经营收入</w:t>
            </w:r>
          </w:p>
        </w:tc>
        <w:tc>
          <w:tcPr>
            <w:tcW w:w="52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其他收入</w:t>
            </w:r>
          </w:p>
        </w:tc>
      </w:tr>
      <w:tr>
        <w:tblPrEx>
          <w:tblLayout w:type="fixed"/>
          <w:tblCellMar>
            <w:top w:w="15" w:type="dxa"/>
            <w:left w:w="15" w:type="dxa"/>
            <w:bottom w:w="15" w:type="dxa"/>
            <w:right w:w="15" w:type="dxa"/>
          </w:tblCellMar>
        </w:tblPrEx>
        <w:trPr>
          <w:trHeight w:val="979" w:hRule="atLeast"/>
          <w:jc w:val="center"/>
        </w:trPr>
        <w:tc>
          <w:tcPr>
            <w:tcW w:w="14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110"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1100"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小计</w:t>
            </w:r>
          </w:p>
        </w:tc>
        <w:tc>
          <w:tcPr>
            <w:tcW w:w="1018" w:type="dxa"/>
            <w:tcBorders>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840"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080" w:type="dxa"/>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c>
          <w:tcPr>
            <w:tcW w:w="7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530" w:type="dxa"/>
            <w:vMerge w:val="continue"/>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color w:val="auto"/>
                <w:sz w:val="20"/>
                <w:szCs w:val="20"/>
              </w:rPr>
            </w:pPr>
          </w:p>
        </w:tc>
        <w:tc>
          <w:tcPr>
            <w:tcW w:w="6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403" w:type="dxa"/>
            <w:vMerge w:val="continue"/>
            <w:tcBorders>
              <w:top w:val="single" w:color="000000" w:sz="4" w:space="0"/>
              <w:left w:val="single" w:color="000000" w:sz="4" w:space="0"/>
              <w:bottom w:val="single" w:color="000000" w:sz="4" w:space="0"/>
            </w:tcBorders>
            <w:vAlign w:val="center"/>
          </w:tcPr>
          <w:p>
            <w:pPr>
              <w:jc w:val="center"/>
              <w:rPr>
                <w:rFonts w:ascii="宋体" w:hAnsi="宋体" w:eastAsia="宋体" w:cs="宋体"/>
                <w:b/>
                <w:color w:val="auto"/>
                <w:sz w:val="20"/>
                <w:szCs w:val="20"/>
              </w:rPr>
            </w:pPr>
          </w:p>
        </w:tc>
        <w:tc>
          <w:tcPr>
            <w:tcW w:w="714" w:type="dxa"/>
            <w:vMerge w:val="continue"/>
            <w:tcBorders>
              <w:top w:val="single" w:color="000000" w:sz="4" w:space="0"/>
              <w:left w:val="single" w:color="000000" w:sz="4" w:space="0"/>
              <w:bottom w:val="single" w:color="000000" w:sz="4" w:space="0"/>
            </w:tcBorders>
            <w:vAlign w:val="center"/>
          </w:tcPr>
          <w:p>
            <w:pPr>
              <w:jc w:val="center"/>
              <w:rPr>
                <w:rFonts w:ascii="宋体" w:hAnsi="宋体" w:eastAsia="宋体" w:cs="宋体"/>
                <w:b/>
                <w:color w:val="auto"/>
                <w:sz w:val="20"/>
                <w:szCs w:val="20"/>
              </w:rPr>
            </w:pPr>
          </w:p>
        </w:tc>
        <w:tc>
          <w:tcPr>
            <w:tcW w:w="5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741"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111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c>
          <w:tcPr>
            <w:tcW w:w="110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c>
          <w:tcPr>
            <w:tcW w:w="10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c>
          <w:tcPr>
            <w:tcW w:w="84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53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79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【2050201】学前教育</w:t>
            </w:r>
          </w:p>
        </w:tc>
        <w:tc>
          <w:tcPr>
            <w:tcW w:w="111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18"/>
                <w:szCs w:val="18"/>
              </w:rPr>
            </w:pPr>
          </w:p>
        </w:tc>
        <w:tc>
          <w:tcPr>
            <w:tcW w:w="110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18"/>
                <w:szCs w:val="18"/>
              </w:rPr>
            </w:pPr>
          </w:p>
        </w:tc>
        <w:tc>
          <w:tcPr>
            <w:tcW w:w="10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p>
        </w:tc>
        <w:tc>
          <w:tcPr>
            <w:tcW w:w="84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53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79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【2050202】小学教育</w:t>
            </w:r>
          </w:p>
        </w:tc>
        <w:tc>
          <w:tcPr>
            <w:tcW w:w="111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1289788.00</w:t>
            </w:r>
          </w:p>
        </w:tc>
        <w:tc>
          <w:tcPr>
            <w:tcW w:w="110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1289788.000</w:t>
            </w:r>
          </w:p>
        </w:tc>
        <w:tc>
          <w:tcPr>
            <w:tcW w:w="10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1289788.00</w:t>
            </w:r>
          </w:p>
        </w:tc>
        <w:tc>
          <w:tcPr>
            <w:tcW w:w="84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53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87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【2210201】住房公积金</w:t>
            </w:r>
          </w:p>
        </w:tc>
        <w:tc>
          <w:tcPr>
            <w:tcW w:w="111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142068.00</w:t>
            </w:r>
          </w:p>
        </w:tc>
        <w:tc>
          <w:tcPr>
            <w:tcW w:w="110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142068.00</w:t>
            </w:r>
          </w:p>
        </w:tc>
        <w:tc>
          <w:tcPr>
            <w:tcW w:w="10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142068.00</w:t>
            </w:r>
          </w:p>
        </w:tc>
        <w:tc>
          <w:tcPr>
            <w:tcW w:w="84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53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四、财政拨款收支总体情况表</w:t>
      </w:r>
    </w:p>
    <w:tbl>
      <w:tblPr>
        <w:tblStyle w:val="9"/>
        <w:tblW w:w="9852" w:type="dxa"/>
        <w:jc w:val="center"/>
        <w:tblInd w:w="0" w:type="dxa"/>
        <w:tblLayout w:type="fixed"/>
        <w:tblCellMar>
          <w:top w:w="15" w:type="dxa"/>
          <w:left w:w="15" w:type="dxa"/>
          <w:bottom w:w="15" w:type="dxa"/>
          <w:right w:w="15" w:type="dxa"/>
        </w:tblCellMar>
      </w:tblPr>
      <w:tblGrid>
        <w:gridCol w:w="1724"/>
        <w:gridCol w:w="1832"/>
        <w:gridCol w:w="1688"/>
        <w:gridCol w:w="1388"/>
        <w:gridCol w:w="1532"/>
        <w:gridCol w:w="1688"/>
      </w:tblGrid>
      <w:tr>
        <w:tblPrEx>
          <w:tblLayout w:type="fixed"/>
          <w:tblCellMar>
            <w:top w:w="15" w:type="dxa"/>
            <w:left w:w="15" w:type="dxa"/>
            <w:bottom w:w="15" w:type="dxa"/>
            <w:right w:w="15" w:type="dxa"/>
          </w:tblCellMar>
        </w:tblPrEx>
        <w:trPr>
          <w:trHeight w:val="450" w:hRule="atLeast"/>
          <w:jc w:val="center"/>
        </w:trPr>
        <w:tc>
          <w:tcPr>
            <w:tcW w:w="1724" w:type="dxa"/>
            <w:tcBorders>
              <w:bottom w:val="single" w:color="000000" w:sz="4" w:space="0"/>
            </w:tcBorders>
            <w:vAlign w:val="bottom"/>
          </w:tcPr>
          <w:p>
            <w:pPr>
              <w:widowControl/>
              <w:jc w:val="righ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p>
        </w:tc>
        <w:tc>
          <w:tcPr>
            <w:tcW w:w="1832" w:type="dxa"/>
            <w:tcBorders>
              <w:bottom w:val="single" w:color="000000" w:sz="4" w:space="0"/>
            </w:tcBorders>
            <w:vAlign w:val="bottom"/>
          </w:tcPr>
          <w:p>
            <w:pPr>
              <w:widowControl/>
              <w:jc w:val="left"/>
              <w:textAlignment w:val="bottom"/>
              <w:rPr>
                <w:rFonts w:ascii="宋体" w:hAnsi="宋体" w:eastAsia="宋体" w:cs="宋体"/>
                <w:b/>
                <w:color w:val="auto"/>
                <w:sz w:val="18"/>
                <w:szCs w:val="18"/>
              </w:rPr>
            </w:pP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1688" w:type="dxa"/>
            <w:tcBorders>
              <w:bottom w:val="single" w:color="000000" w:sz="4" w:space="0"/>
            </w:tcBorders>
            <w:vAlign w:val="center"/>
          </w:tcPr>
          <w:p>
            <w:pPr>
              <w:rPr>
                <w:rFonts w:ascii="宋体" w:hAnsi="宋体" w:eastAsia="宋体" w:cs="宋体"/>
                <w:b/>
                <w:color w:val="auto"/>
                <w:sz w:val="18"/>
                <w:szCs w:val="18"/>
              </w:rPr>
            </w:pPr>
          </w:p>
        </w:tc>
        <w:tc>
          <w:tcPr>
            <w:tcW w:w="1388" w:type="dxa"/>
            <w:tcBorders>
              <w:bottom w:val="single" w:color="000000" w:sz="4" w:space="0"/>
            </w:tcBorders>
            <w:vAlign w:val="center"/>
          </w:tcPr>
          <w:p>
            <w:pPr>
              <w:rPr>
                <w:rFonts w:ascii="宋体" w:hAnsi="宋体" w:eastAsia="宋体" w:cs="宋体"/>
                <w:b/>
                <w:color w:val="auto"/>
                <w:sz w:val="18"/>
                <w:szCs w:val="18"/>
              </w:rPr>
            </w:pPr>
          </w:p>
        </w:tc>
        <w:tc>
          <w:tcPr>
            <w:tcW w:w="1532" w:type="dxa"/>
            <w:tcBorders>
              <w:bottom w:val="single" w:color="000000" w:sz="4" w:space="0"/>
            </w:tcBorders>
            <w:vAlign w:val="bottom"/>
          </w:tcPr>
          <w:p>
            <w:pPr>
              <w:rPr>
                <w:rFonts w:ascii="宋体" w:hAnsi="宋体" w:eastAsia="宋体" w:cs="宋体"/>
                <w:b/>
                <w:color w:val="auto"/>
                <w:sz w:val="18"/>
                <w:szCs w:val="18"/>
              </w:rPr>
            </w:pPr>
          </w:p>
        </w:tc>
        <w:tc>
          <w:tcPr>
            <w:tcW w:w="1688" w:type="dxa"/>
            <w:tcBorders>
              <w:bottom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单位：元</w:t>
            </w:r>
          </w:p>
        </w:tc>
      </w:tr>
      <w:tr>
        <w:tblPrEx>
          <w:tblLayout w:type="fixed"/>
          <w:tblCellMar>
            <w:top w:w="15" w:type="dxa"/>
            <w:left w:w="15" w:type="dxa"/>
            <w:bottom w:w="15" w:type="dxa"/>
            <w:right w:w="15" w:type="dxa"/>
          </w:tblCellMar>
        </w:tblPrEx>
        <w:trPr>
          <w:trHeight w:val="450" w:hRule="atLeast"/>
          <w:jc w:val="center"/>
        </w:trPr>
        <w:tc>
          <w:tcPr>
            <w:tcW w:w="355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收  入</w:t>
            </w:r>
          </w:p>
        </w:tc>
        <w:tc>
          <w:tcPr>
            <w:tcW w:w="6296"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  出</w:t>
            </w: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18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政府性基金预算</w:t>
            </w: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1431856.001</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一、一般公共服务支出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一般预算拨款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二、外交支出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基金预算拨款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三、国防支出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二、预算外资金</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四、公共安全支出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行政事业性收费收入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五、教育支出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1289788.00</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1289788。00</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主管部门集中收入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六、科学技术支出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纳入预算外管理基金收入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七、文化体育与传媒支出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其他预算外资金</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八、社会保障和就业支出 </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九、社会保险基金支出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十、医疗卫生支出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十一、节能环保支出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十二、城乡社区支出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十三、农林水支出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三、事业收入（不含预算外资金）</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十四、交通运输支出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四、单位经营服务性收入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十五、资源勘探电力信息等支出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五、其他收入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十六、商业服务业等支出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六、上级补助收入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十七、金融支出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七、附属单位上缴收入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十八、援助其他地区支出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八、用事业基金弥补收支差额</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十九、国土海洋气象等支出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九、上年结转、结余</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二十、住房保障支出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142068.00</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142068.00</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二十一、粮油物资储备支出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二十二、预备费</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二十三、债务还本支出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二十四、债务付息支出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二十五、其他支出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二十六、转移性支出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619"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收入总计</w:t>
            </w:r>
          </w:p>
        </w:tc>
        <w:tc>
          <w:tcPr>
            <w:tcW w:w="183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1431856.001</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支出总计</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1431856.00</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numPr>
          <w:ilvl w:val="0"/>
          <w:numId w:val="1"/>
        </w:numPr>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一般公共预算支出情况表</w:t>
      </w:r>
    </w:p>
    <w:tbl>
      <w:tblPr>
        <w:tblStyle w:val="9"/>
        <w:tblW w:w="8201" w:type="dxa"/>
        <w:tblInd w:w="0" w:type="dxa"/>
        <w:tblLayout w:type="fixed"/>
        <w:tblCellMar>
          <w:top w:w="15" w:type="dxa"/>
          <w:left w:w="15" w:type="dxa"/>
          <w:bottom w:w="15" w:type="dxa"/>
          <w:right w:w="15" w:type="dxa"/>
        </w:tblCellMar>
      </w:tblPr>
      <w:tblGrid>
        <w:gridCol w:w="1777"/>
        <w:gridCol w:w="1395"/>
        <w:gridCol w:w="1381"/>
        <w:gridCol w:w="1284"/>
        <w:gridCol w:w="1029"/>
        <w:gridCol w:w="1335"/>
      </w:tblGrid>
      <w:tr>
        <w:tblPrEx>
          <w:tblLayout w:type="fixed"/>
          <w:tblCellMar>
            <w:top w:w="15" w:type="dxa"/>
            <w:left w:w="15" w:type="dxa"/>
            <w:bottom w:w="15" w:type="dxa"/>
            <w:right w:w="15" w:type="dxa"/>
          </w:tblCellMar>
        </w:tblPrEx>
        <w:trPr>
          <w:trHeight w:val="585" w:hRule="atLeast"/>
        </w:trPr>
        <w:tc>
          <w:tcPr>
            <w:tcW w:w="1777" w:type="dxa"/>
            <w:tcBorders>
              <w:bottom w:val="single" w:color="000000" w:sz="4" w:space="0"/>
            </w:tcBorders>
            <w:vAlign w:val="bottom"/>
          </w:tcPr>
          <w:p>
            <w:pPr>
              <w:widowControl/>
              <w:jc w:val="righ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p>
        </w:tc>
        <w:tc>
          <w:tcPr>
            <w:tcW w:w="1395" w:type="dxa"/>
            <w:vAlign w:val="bottom"/>
          </w:tcPr>
          <w:p>
            <w:pPr>
              <w:widowControl/>
              <w:jc w:val="left"/>
              <w:textAlignment w:val="bottom"/>
              <w:rPr>
                <w:rFonts w:ascii="宋体" w:hAnsi="宋体" w:eastAsia="宋体" w:cs="宋体"/>
                <w:b/>
                <w:color w:val="auto"/>
                <w:sz w:val="18"/>
                <w:szCs w:val="18"/>
              </w:rPr>
            </w:pP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1381" w:type="dxa"/>
            <w:vAlign w:val="bottom"/>
          </w:tcPr>
          <w:p>
            <w:pPr>
              <w:jc w:val="center"/>
              <w:rPr>
                <w:rFonts w:ascii="宋体" w:hAnsi="宋体" w:eastAsia="宋体" w:cs="宋体"/>
                <w:b/>
                <w:color w:val="auto"/>
                <w:sz w:val="20"/>
                <w:szCs w:val="20"/>
              </w:rPr>
            </w:pPr>
          </w:p>
        </w:tc>
        <w:tc>
          <w:tcPr>
            <w:tcW w:w="1284" w:type="dxa"/>
            <w:vAlign w:val="bottom"/>
          </w:tcPr>
          <w:p>
            <w:pPr>
              <w:jc w:val="center"/>
              <w:rPr>
                <w:rFonts w:ascii="宋体" w:hAnsi="宋体" w:eastAsia="宋体" w:cs="宋体"/>
                <w:b/>
                <w:color w:val="auto"/>
                <w:sz w:val="20"/>
                <w:szCs w:val="20"/>
              </w:rPr>
            </w:pPr>
          </w:p>
        </w:tc>
        <w:tc>
          <w:tcPr>
            <w:tcW w:w="1029" w:type="dxa"/>
            <w:vAlign w:val="bottom"/>
          </w:tcPr>
          <w:p>
            <w:pPr>
              <w:rPr>
                <w:rFonts w:ascii="宋体" w:hAnsi="宋体" w:eastAsia="宋体" w:cs="宋体"/>
                <w:b/>
                <w:color w:val="auto"/>
                <w:sz w:val="20"/>
                <w:szCs w:val="20"/>
              </w:rPr>
            </w:pPr>
          </w:p>
        </w:tc>
        <w:tc>
          <w:tcPr>
            <w:tcW w:w="1335" w:type="dxa"/>
            <w:vAlign w:val="bottom"/>
          </w:tcPr>
          <w:p>
            <w:pPr>
              <w:widowControl/>
              <w:jc w:val="right"/>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单位：元</w:t>
            </w:r>
          </w:p>
        </w:tc>
      </w:tr>
      <w:tr>
        <w:tblPrEx>
          <w:tblLayout w:type="fixed"/>
          <w:tblCellMar>
            <w:top w:w="15" w:type="dxa"/>
            <w:left w:w="15" w:type="dxa"/>
            <w:bottom w:w="15" w:type="dxa"/>
            <w:right w:w="15" w:type="dxa"/>
          </w:tblCellMar>
        </w:tblPrEx>
        <w:trPr>
          <w:trHeight w:val="360" w:hRule="atLeast"/>
        </w:trPr>
        <w:tc>
          <w:tcPr>
            <w:tcW w:w="177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功能科目名称</w:t>
            </w:r>
          </w:p>
        </w:tc>
        <w:tc>
          <w:tcPr>
            <w:tcW w:w="1395"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总计</w:t>
            </w:r>
          </w:p>
        </w:tc>
        <w:tc>
          <w:tcPr>
            <w:tcW w:w="5029"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一般公共预算拨款</w:t>
            </w:r>
          </w:p>
        </w:tc>
      </w:tr>
      <w:tr>
        <w:tblPrEx>
          <w:tblLayout w:type="fixed"/>
          <w:tblCellMar>
            <w:top w:w="15" w:type="dxa"/>
            <w:left w:w="15" w:type="dxa"/>
            <w:bottom w:w="15" w:type="dxa"/>
            <w:right w:w="15" w:type="dxa"/>
          </w:tblCellMar>
        </w:tblPrEx>
        <w:trPr>
          <w:trHeight w:val="360" w:hRule="atLeast"/>
        </w:trPr>
        <w:tc>
          <w:tcPr>
            <w:tcW w:w="1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95"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502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405" w:hRule="atLeast"/>
        </w:trPr>
        <w:tc>
          <w:tcPr>
            <w:tcW w:w="1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95"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1381"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小计</w:t>
            </w:r>
          </w:p>
        </w:tc>
        <w:tc>
          <w:tcPr>
            <w:tcW w:w="1284"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1029" w:type="dxa"/>
            <w:tcBorders>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335" w:type="dxa"/>
            <w:tcBorders>
              <w:left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合计</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1431856.00</w:t>
            </w: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1431856.00</w:t>
            </w: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1431856.00</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【2210201】住房公积金</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142068.00</w:t>
            </w: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142068.00</w:t>
            </w: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142068.00</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【2050202】小学教育</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1289788</w:t>
            </w: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1289788.00</w:t>
            </w: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1289788.00</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【2050201】学前教育</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p>
        </w:tc>
        <w:tc>
          <w:tcPr>
            <w:tcW w:w="1029"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六、一般公共预算基本支出情况表（按支出经济分类科目）</w:t>
      </w:r>
    </w:p>
    <w:tbl>
      <w:tblPr>
        <w:tblStyle w:val="9"/>
        <w:tblW w:w="9270" w:type="dxa"/>
        <w:jc w:val="center"/>
        <w:tblInd w:w="0" w:type="dxa"/>
        <w:tblLayout w:type="fixed"/>
        <w:tblCellMar>
          <w:top w:w="15" w:type="dxa"/>
          <w:left w:w="15" w:type="dxa"/>
          <w:bottom w:w="15" w:type="dxa"/>
          <w:right w:w="15" w:type="dxa"/>
        </w:tblCellMar>
      </w:tblPr>
      <w:tblGrid>
        <w:gridCol w:w="3120"/>
        <w:gridCol w:w="3195"/>
        <w:gridCol w:w="2955"/>
      </w:tblGrid>
      <w:tr>
        <w:tblPrEx>
          <w:tblLayout w:type="fixed"/>
          <w:tblCellMar>
            <w:top w:w="15" w:type="dxa"/>
            <w:left w:w="15" w:type="dxa"/>
            <w:bottom w:w="15" w:type="dxa"/>
            <w:right w:w="15" w:type="dxa"/>
          </w:tblCellMar>
        </w:tblPrEx>
        <w:trPr>
          <w:trHeight w:val="375" w:hRule="atLeast"/>
          <w:jc w:val="center"/>
        </w:trPr>
        <w:tc>
          <w:tcPr>
            <w:tcW w:w="6315" w:type="dxa"/>
            <w:gridSpan w:val="2"/>
            <w:vAlign w:val="bottom"/>
          </w:tcPr>
          <w:p>
            <w:pPr>
              <w:widowControl/>
              <w:jc w:val="left"/>
              <w:textAlignment w:val="bottom"/>
              <w:rPr>
                <w:rFonts w:ascii="宋体" w:hAnsi="宋体" w:eastAsia="宋体" w:cs="宋体"/>
                <w:color w:val="auto"/>
                <w:sz w:val="24"/>
                <w:szCs w:val="24"/>
              </w:rPr>
            </w:pPr>
            <w:r>
              <w:rPr>
                <w:rFonts w:hint="eastAsia" w:ascii="宋体" w:hAnsi="宋体" w:eastAsia="宋体" w:cs="宋体"/>
                <w:color w:val="auto"/>
                <w:kern w:val="0"/>
                <w:sz w:val="24"/>
                <w:szCs w:val="24"/>
                <w:lang w:bidi="ar"/>
              </w:rPr>
              <w:t>单位名称:</w:t>
            </w:r>
            <w:r>
              <w:rPr>
                <w:rFonts w:ascii="宋体" w:hAnsi="宋体" w:eastAsia="宋体" w:cs="宋体"/>
                <w:color w:val="auto"/>
                <w:sz w:val="24"/>
                <w:szCs w:val="24"/>
              </w:rPr>
              <w:t xml:space="preserve"> </w:t>
            </w:r>
          </w:p>
          <w:tbl>
            <w:tblPr>
              <w:tblStyle w:val="9"/>
              <w:tblW w:w="3520" w:type="dxa"/>
              <w:jc w:val="center"/>
              <w:tblInd w:w="0" w:type="dxa"/>
              <w:tblLayout w:type="fixed"/>
              <w:tblCellMar>
                <w:top w:w="15" w:type="dxa"/>
                <w:left w:w="15" w:type="dxa"/>
                <w:bottom w:w="15" w:type="dxa"/>
                <w:right w:w="15" w:type="dxa"/>
              </w:tblCellMar>
            </w:tblPr>
            <w:tblGrid>
              <w:gridCol w:w="1832"/>
              <w:gridCol w:w="1688"/>
            </w:tblGrid>
            <w:tr>
              <w:tblPrEx>
                <w:tblLayout w:type="fixed"/>
                <w:tblCellMar>
                  <w:top w:w="15" w:type="dxa"/>
                  <w:left w:w="15" w:type="dxa"/>
                  <w:bottom w:w="15" w:type="dxa"/>
                  <w:right w:w="15" w:type="dxa"/>
                </w:tblCellMar>
              </w:tblPrEx>
              <w:trPr>
                <w:trHeight w:val="450" w:hRule="atLeast"/>
                <w:jc w:val="center"/>
              </w:trPr>
              <w:tc>
                <w:tcPr>
                  <w:tcW w:w="1832" w:type="dxa"/>
                  <w:tcBorders>
                    <w:bottom w:val="single" w:color="000000" w:sz="4" w:space="0"/>
                  </w:tcBorders>
                  <w:vAlign w:val="bottom"/>
                </w:tcPr>
                <w:p>
                  <w:pPr>
                    <w:widowControl/>
                    <w:jc w:val="left"/>
                    <w:textAlignment w:val="bottom"/>
                    <w:rPr>
                      <w:rFonts w:ascii="宋体" w:hAnsi="宋体" w:eastAsia="宋体" w:cs="宋体"/>
                      <w:b/>
                      <w:color w:val="auto"/>
                      <w:sz w:val="18"/>
                      <w:szCs w:val="18"/>
                    </w:rPr>
                  </w:pP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1688" w:type="dxa"/>
                  <w:tcBorders>
                    <w:bottom w:val="single" w:color="000000" w:sz="4" w:space="0"/>
                  </w:tcBorders>
                  <w:vAlign w:val="center"/>
                </w:tcPr>
                <w:p>
                  <w:pPr>
                    <w:rPr>
                      <w:rFonts w:ascii="宋体" w:hAnsi="宋体" w:eastAsia="宋体" w:cs="宋体"/>
                      <w:b/>
                      <w:color w:val="auto"/>
                      <w:sz w:val="18"/>
                      <w:szCs w:val="18"/>
                    </w:rPr>
                  </w:pPr>
                </w:p>
              </w:tc>
            </w:tr>
          </w:tbl>
          <w:p>
            <w:pPr>
              <w:widowControl/>
              <w:jc w:val="left"/>
              <w:textAlignment w:val="bottom"/>
              <w:rPr>
                <w:rFonts w:ascii="宋体" w:hAnsi="宋体" w:eastAsia="宋体" w:cs="宋体"/>
                <w:color w:val="auto"/>
                <w:sz w:val="24"/>
                <w:szCs w:val="24"/>
              </w:rPr>
            </w:pPr>
          </w:p>
        </w:tc>
        <w:tc>
          <w:tcPr>
            <w:tcW w:w="2955" w:type="dxa"/>
            <w:vAlign w:val="bottom"/>
          </w:tcPr>
          <w:p>
            <w:pPr>
              <w:widowControl/>
              <w:jc w:val="right"/>
              <w:textAlignment w:val="bottom"/>
              <w:rPr>
                <w:rFonts w:ascii="宋体" w:hAnsi="宋体" w:eastAsia="宋体" w:cs="宋体"/>
                <w:color w:val="auto"/>
                <w:sz w:val="24"/>
                <w:szCs w:val="24"/>
              </w:rPr>
            </w:pPr>
            <w:r>
              <w:rPr>
                <w:rFonts w:hint="eastAsia" w:ascii="宋体" w:hAnsi="宋体" w:eastAsia="宋体" w:cs="宋体"/>
                <w:color w:val="auto"/>
                <w:kern w:val="0"/>
                <w:sz w:val="24"/>
                <w:szCs w:val="24"/>
                <w:lang w:bidi="ar"/>
              </w:rPr>
              <w:t>单位：元</w:t>
            </w:r>
          </w:p>
        </w:tc>
      </w:tr>
      <w:tr>
        <w:tblPrEx>
          <w:tblLayout w:type="fixed"/>
          <w:tblCellMar>
            <w:top w:w="15" w:type="dxa"/>
            <w:left w:w="15" w:type="dxa"/>
            <w:bottom w:w="15" w:type="dxa"/>
            <w:right w:w="15" w:type="dxa"/>
          </w:tblCellMar>
        </w:tblPrEx>
        <w:trPr>
          <w:trHeight w:val="480" w:hRule="atLeast"/>
          <w:jc w:val="center"/>
        </w:trPr>
        <w:tc>
          <w:tcPr>
            <w:tcW w:w="31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4"/>
                <w:szCs w:val="24"/>
              </w:rPr>
            </w:pPr>
            <w:r>
              <w:rPr>
                <w:rFonts w:hint="eastAsia" w:ascii="宋体" w:hAnsi="宋体" w:eastAsia="宋体" w:cs="宋体"/>
                <w:b/>
                <w:color w:val="auto"/>
                <w:kern w:val="0"/>
                <w:sz w:val="24"/>
                <w:szCs w:val="24"/>
                <w:lang w:bidi="ar"/>
              </w:rPr>
              <w:t>科目编码（政府预算经济）</w:t>
            </w:r>
          </w:p>
        </w:tc>
        <w:tc>
          <w:tcPr>
            <w:tcW w:w="31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4"/>
                <w:szCs w:val="24"/>
              </w:rPr>
            </w:pPr>
            <w:r>
              <w:rPr>
                <w:rFonts w:hint="eastAsia" w:ascii="宋体" w:hAnsi="宋体" w:eastAsia="宋体" w:cs="宋体"/>
                <w:b/>
                <w:color w:val="auto"/>
                <w:kern w:val="0"/>
                <w:sz w:val="24"/>
                <w:szCs w:val="24"/>
                <w:lang w:bidi="ar"/>
              </w:rPr>
              <w:t>科目名称（政府预算经济）</w:t>
            </w:r>
          </w:p>
        </w:tc>
        <w:tc>
          <w:tcPr>
            <w:tcW w:w="2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4"/>
                <w:szCs w:val="24"/>
              </w:rPr>
            </w:pPr>
            <w:r>
              <w:rPr>
                <w:rFonts w:hint="eastAsia" w:ascii="宋体" w:hAnsi="宋体" w:eastAsia="宋体" w:cs="宋体"/>
                <w:b/>
                <w:color w:val="auto"/>
                <w:kern w:val="0"/>
                <w:sz w:val="24"/>
                <w:szCs w:val="24"/>
                <w:lang w:bidi="ar"/>
              </w:rPr>
              <w:t>一般公共预算拨款</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jc w:val="left"/>
              <w:rPr>
                <w:rFonts w:ascii="宋体" w:hAnsi="宋体" w:eastAsia="宋体" w:cs="宋体"/>
                <w:color w:val="auto"/>
                <w:sz w:val="24"/>
                <w:szCs w:val="24"/>
              </w:rPr>
            </w:pP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合计</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1431856.00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501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机关工资福利支出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1095352.00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50101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工资奖金津补贴</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953284.00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50103</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住房公积金</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142068.00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50199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其他工资福利支出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502</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机关商品和服务支出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92250.00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办公经费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45000.00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50202</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会议费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1800.00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50203</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培训费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11350.00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50204</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专用材料购置费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委托业务费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50206</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公务接待费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2800.00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维修（护）费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20000.00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50299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其他商品和服务支出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11300.00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505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对事业单位经常性补助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102204.00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50501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102204.00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509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对个人和家庭的补助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142050.00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50901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社会福利和救助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50905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离退休费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50999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其他对个人和家庭补助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142050.00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七、一般公共预算基本支出情况表（按部门经济分类科目）</w:t>
      </w:r>
    </w:p>
    <w:tbl>
      <w:tblPr>
        <w:tblStyle w:val="9"/>
        <w:tblW w:w="8201" w:type="dxa"/>
        <w:jc w:val="center"/>
        <w:tblInd w:w="0" w:type="dxa"/>
        <w:tblLayout w:type="fixed"/>
        <w:tblCellMar>
          <w:top w:w="15" w:type="dxa"/>
          <w:left w:w="15" w:type="dxa"/>
          <w:bottom w:w="15" w:type="dxa"/>
          <w:right w:w="15" w:type="dxa"/>
        </w:tblCellMar>
      </w:tblPr>
      <w:tblGrid>
        <w:gridCol w:w="1739"/>
        <w:gridCol w:w="1328"/>
        <w:gridCol w:w="1458"/>
        <w:gridCol w:w="1288"/>
        <w:gridCol w:w="1040"/>
        <w:gridCol w:w="1348"/>
      </w:tblGrid>
      <w:tr>
        <w:tblPrEx>
          <w:tblLayout w:type="fixed"/>
          <w:tblCellMar>
            <w:top w:w="15" w:type="dxa"/>
            <w:left w:w="15" w:type="dxa"/>
            <w:bottom w:w="15" w:type="dxa"/>
            <w:right w:w="15" w:type="dxa"/>
          </w:tblCellMar>
        </w:tblPrEx>
        <w:trPr>
          <w:trHeight w:val="585" w:hRule="atLeast"/>
          <w:jc w:val="center"/>
        </w:trPr>
        <w:tc>
          <w:tcPr>
            <w:tcW w:w="1739" w:type="dxa"/>
            <w:tcBorders>
              <w:bottom w:val="single" w:color="000000" w:sz="4" w:space="0"/>
            </w:tcBorders>
            <w:vAlign w:val="bottom"/>
          </w:tcPr>
          <w:p>
            <w:pPr>
              <w:widowControl/>
              <w:jc w:val="righ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p>
        </w:tc>
        <w:tc>
          <w:tcPr>
            <w:tcW w:w="1328" w:type="dxa"/>
          </w:tcPr>
          <w:p>
            <w:pPr>
              <w:rPr>
                <w:color w:val="auto"/>
              </w:rPr>
            </w:pPr>
          </w:p>
        </w:tc>
        <w:tc>
          <w:tcPr>
            <w:tcW w:w="1458" w:type="dxa"/>
          </w:tcPr>
          <w:p>
            <w:pPr>
              <w:rPr>
                <w:color w:val="auto"/>
              </w:rPr>
            </w:pP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1288" w:type="dxa"/>
            <w:vAlign w:val="bottom"/>
          </w:tcPr>
          <w:p>
            <w:pPr>
              <w:jc w:val="center"/>
              <w:rPr>
                <w:rFonts w:ascii="宋体" w:hAnsi="宋体" w:eastAsia="宋体" w:cs="宋体"/>
                <w:b/>
                <w:color w:val="auto"/>
                <w:sz w:val="20"/>
                <w:szCs w:val="20"/>
              </w:rPr>
            </w:pPr>
          </w:p>
        </w:tc>
        <w:tc>
          <w:tcPr>
            <w:tcW w:w="1040" w:type="dxa"/>
            <w:vAlign w:val="bottom"/>
          </w:tcPr>
          <w:p>
            <w:pPr>
              <w:rPr>
                <w:rFonts w:ascii="宋体" w:hAnsi="宋体" w:eastAsia="宋体" w:cs="宋体"/>
                <w:b/>
                <w:color w:val="auto"/>
                <w:sz w:val="20"/>
                <w:szCs w:val="20"/>
              </w:rPr>
            </w:pPr>
          </w:p>
        </w:tc>
        <w:tc>
          <w:tcPr>
            <w:tcW w:w="1348" w:type="dxa"/>
            <w:vAlign w:val="bottom"/>
          </w:tcPr>
          <w:p>
            <w:pPr>
              <w:widowControl/>
              <w:jc w:val="right"/>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单位：元</w:t>
            </w:r>
          </w:p>
        </w:tc>
      </w:tr>
      <w:tr>
        <w:tblPrEx>
          <w:tblLayout w:type="fixed"/>
          <w:tblCellMar>
            <w:top w:w="15" w:type="dxa"/>
            <w:left w:w="15" w:type="dxa"/>
            <w:bottom w:w="15" w:type="dxa"/>
            <w:right w:w="15" w:type="dxa"/>
          </w:tblCellMar>
        </w:tblPrEx>
        <w:trPr>
          <w:trHeight w:val="360" w:hRule="atLeast"/>
          <w:jc w:val="center"/>
        </w:trPr>
        <w:tc>
          <w:tcPr>
            <w:tcW w:w="173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经济科目名称</w:t>
            </w:r>
          </w:p>
        </w:tc>
        <w:tc>
          <w:tcPr>
            <w:tcW w:w="1328"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总计</w:t>
            </w:r>
          </w:p>
        </w:tc>
        <w:tc>
          <w:tcPr>
            <w:tcW w:w="5134"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一般公共预算拨款</w:t>
            </w:r>
          </w:p>
        </w:tc>
      </w:tr>
      <w:tr>
        <w:tblPrEx>
          <w:tblLayout w:type="fixed"/>
          <w:tblCellMar>
            <w:top w:w="15" w:type="dxa"/>
            <w:left w:w="15" w:type="dxa"/>
            <w:bottom w:w="15" w:type="dxa"/>
            <w:right w:w="15" w:type="dxa"/>
          </w:tblCellMar>
        </w:tblPrEx>
        <w:trPr>
          <w:trHeight w:val="360" w:hRule="atLeast"/>
          <w:jc w:val="center"/>
        </w:trPr>
        <w:tc>
          <w:tcPr>
            <w:tcW w:w="17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28"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513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405" w:hRule="atLeast"/>
          <w:jc w:val="center"/>
        </w:trPr>
        <w:tc>
          <w:tcPr>
            <w:tcW w:w="17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28"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1458"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小计</w:t>
            </w:r>
          </w:p>
        </w:tc>
        <w:tc>
          <w:tcPr>
            <w:tcW w:w="1288"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1040" w:type="dxa"/>
            <w:tcBorders>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348" w:type="dxa"/>
            <w:tcBorders>
              <w:left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合计</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1431856.00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1431856.00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1431856.00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工资福利支出</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基本工资</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652560.00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652560.00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652560.00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津贴补贴</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142049.00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142049.00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142049.00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其他工资福利支出</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绩效工资</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102204.00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102204.00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102204.00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住房公积金</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142068.00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142068.00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142068.00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奖金</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54380.00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54380.00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54380.00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商品和服务支出</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10000.00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10000.00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公务接待费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2800.00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2800.00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2800.00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邮电费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5000．00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5000.00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5000.00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维修(护)费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20000.00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20000.00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水费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7800.00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7800.00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7800.00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差旅费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11350.00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11350.00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11350.00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印刷费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7200.00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7200.00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7200.00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会议费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1800.00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1800.00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1800.00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培训费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9000.00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9000.00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9000.00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劳务费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专用材料费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6000.00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6000.00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6000.00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其他商品和服务支出</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10000.00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10000.00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办公费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16000.00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16000.00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16000.00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对个人和家庭的补助</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142050.00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142050.00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142050.00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退休费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生活补助</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其他对个人和家庭的补助</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142050.06</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142050.00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142050.00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八、一般公共预算项目支出情况表（按政府支出经济分类科目）</w:t>
      </w:r>
    </w:p>
    <w:tbl>
      <w:tblPr>
        <w:tblStyle w:val="9"/>
        <w:tblW w:w="9207" w:type="dxa"/>
        <w:jc w:val="center"/>
        <w:tblInd w:w="0" w:type="dxa"/>
        <w:tblLayout w:type="fixed"/>
        <w:tblCellMar>
          <w:top w:w="15" w:type="dxa"/>
          <w:left w:w="15" w:type="dxa"/>
          <w:bottom w:w="15" w:type="dxa"/>
          <w:right w:w="15" w:type="dxa"/>
        </w:tblCellMar>
      </w:tblPr>
      <w:tblGrid>
        <w:gridCol w:w="1907"/>
        <w:gridCol w:w="1653"/>
        <w:gridCol w:w="1483"/>
        <w:gridCol w:w="2071"/>
        <w:gridCol w:w="786"/>
        <w:gridCol w:w="1307"/>
      </w:tblGrid>
      <w:tr>
        <w:tblPrEx>
          <w:tblLayout w:type="fixed"/>
          <w:tblCellMar>
            <w:top w:w="15" w:type="dxa"/>
            <w:left w:w="15" w:type="dxa"/>
            <w:bottom w:w="15" w:type="dxa"/>
            <w:right w:w="15" w:type="dxa"/>
          </w:tblCellMar>
        </w:tblPrEx>
        <w:trPr>
          <w:trHeight w:val="555" w:hRule="atLeast"/>
          <w:jc w:val="center"/>
        </w:trPr>
        <w:tc>
          <w:tcPr>
            <w:tcW w:w="7114" w:type="dxa"/>
            <w:gridSpan w:val="4"/>
            <w:tcBorders>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786" w:type="dxa"/>
            <w:vAlign w:val="center"/>
          </w:tcPr>
          <w:p>
            <w:pPr>
              <w:rPr>
                <w:rFonts w:ascii="宋体" w:hAnsi="宋体" w:eastAsia="宋体" w:cs="宋体"/>
                <w:b/>
                <w:color w:val="auto"/>
                <w:sz w:val="18"/>
                <w:szCs w:val="18"/>
              </w:rPr>
            </w:pPr>
          </w:p>
        </w:tc>
        <w:tc>
          <w:tcPr>
            <w:tcW w:w="1307"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金额：元</w:t>
            </w:r>
          </w:p>
        </w:tc>
      </w:tr>
      <w:tr>
        <w:tblPrEx>
          <w:tblLayout w:type="fixed"/>
          <w:tblCellMar>
            <w:top w:w="15" w:type="dxa"/>
            <w:left w:w="15" w:type="dxa"/>
            <w:bottom w:w="15" w:type="dxa"/>
            <w:right w:w="15" w:type="dxa"/>
          </w:tblCellMar>
        </w:tblPrEx>
        <w:trPr>
          <w:trHeight w:val="420" w:hRule="atLeast"/>
          <w:jc w:val="center"/>
        </w:trPr>
        <w:tc>
          <w:tcPr>
            <w:tcW w:w="190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经济科目名称</w:t>
            </w:r>
          </w:p>
        </w:tc>
        <w:tc>
          <w:tcPr>
            <w:tcW w:w="165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总计</w:t>
            </w:r>
          </w:p>
        </w:tc>
        <w:tc>
          <w:tcPr>
            <w:tcW w:w="5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一般公共预算拨款</w:t>
            </w:r>
          </w:p>
        </w:tc>
      </w:tr>
      <w:tr>
        <w:tblPrEx>
          <w:tblLayout w:type="fixed"/>
          <w:tblCellMar>
            <w:top w:w="15" w:type="dxa"/>
            <w:left w:w="15" w:type="dxa"/>
            <w:bottom w:w="15" w:type="dxa"/>
            <w:right w:w="15" w:type="dxa"/>
          </w:tblCellMar>
        </w:tblPrEx>
        <w:trPr>
          <w:trHeight w:val="840" w:hRule="atLeast"/>
          <w:jc w:val="center"/>
        </w:trPr>
        <w:tc>
          <w:tcPr>
            <w:tcW w:w="19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6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小计</w:t>
            </w:r>
          </w:p>
        </w:tc>
        <w:tc>
          <w:tcPr>
            <w:tcW w:w="207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7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3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合计</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设备购置</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大型修缮</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社会福利和救助</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numPr>
          <w:ilvl w:val="0"/>
          <w:numId w:val="2"/>
        </w:numPr>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一般公共预算项目支出情况表（按部门支出经济分类科目）</w:t>
      </w:r>
    </w:p>
    <w:tbl>
      <w:tblPr>
        <w:tblStyle w:val="9"/>
        <w:tblW w:w="9370" w:type="dxa"/>
        <w:jc w:val="center"/>
        <w:tblInd w:w="0" w:type="dxa"/>
        <w:tblLayout w:type="fixed"/>
        <w:tblCellMar>
          <w:top w:w="15" w:type="dxa"/>
          <w:left w:w="15" w:type="dxa"/>
          <w:bottom w:w="15" w:type="dxa"/>
          <w:right w:w="15" w:type="dxa"/>
        </w:tblCellMar>
      </w:tblPr>
      <w:tblGrid>
        <w:gridCol w:w="1824"/>
        <w:gridCol w:w="1818"/>
        <w:gridCol w:w="1609"/>
        <w:gridCol w:w="2027"/>
        <w:gridCol w:w="645"/>
        <w:gridCol w:w="1447"/>
      </w:tblGrid>
      <w:tr>
        <w:tblPrEx>
          <w:tblLayout w:type="fixed"/>
          <w:tblCellMar>
            <w:top w:w="15" w:type="dxa"/>
            <w:left w:w="15" w:type="dxa"/>
            <w:bottom w:w="15" w:type="dxa"/>
            <w:right w:w="15" w:type="dxa"/>
          </w:tblCellMar>
        </w:tblPrEx>
        <w:trPr>
          <w:trHeight w:val="555" w:hRule="atLeast"/>
          <w:jc w:val="center"/>
        </w:trPr>
        <w:tc>
          <w:tcPr>
            <w:tcW w:w="7278" w:type="dxa"/>
            <w:gridSpan w:val="4"/>
            <w:tcBorders>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645" w:type="dxa"/>
            <w:vAlign w:val="center"/>
          </w:tcPr>
          <w:p>
            <w:pPr>
              <w:rPr>
                <w:rFonts w:ascii="宋体" w:hAnsi="宋体" w:eastAsia="宋体" w:cs="宋体"/>
                <w:b/>
                <w:color w:val="auto"/>
                <w:sz w:val="18"/>
                <w:szCs w:val="18"/>
              </w:rPr>
            </w:pPr>
          </w:p>
        </w:tc>
        <w:tc>
          <w:tcPr>
            <w:tcW w:w="1447"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金额：元</w:t>
            </w:r>
          </w:p>
        </w:tc>
      </w:tr>
      <w:tr>
        <w:tblPrEx>
          <w:tblLayout w:type="fixed"/>
          <w:tblCellMar>
            <w:top w:w="15" w:type="dxa"/>
            <w:left w:w="15" w:type="dxa"/>
            <w:bottom w:w="15" w:type="dxa"/>
            <w:right w:w="15" w:type="dxa"/>
          </w:tblCellMar>
        </w:tblPrEx>
        <w:trPr>
          <w:trHeight w:val="420" w:hRule="atLeast"/>
          <w:jc w:val="center"/>
        </w:trPr>
        <w:tc>
          <w:tcPr>
            <w:tcW w:w="1824"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经济科目名称</w:t>
            </w:r>
          </w:p>
        </w:tc>
        <w:tc>
          <w:tcPr>
            <w:tcW w:w="1818"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总计</w:t>
            </w:r>
          </w:p>
        </w:tc>
        <w:tc>
          <w:tcPr>
            <w:tcW w:w="572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一般公共预算拨款</w:t>
            </w:r>
          </w:p>
        </w:tc>
      </w:tr>
      <w:tr>
        <w:tblPrEx>
          <w:tblLayout w:type="fixed"/>
          <w:tblCellMar>
            <w:top w:w="15" w:type="dxa"/>
            <w:left w:w="15" w:type="dxa"/>
            <w:bottom w:w="15" w:type="dxa"/>
            <w:right w:w="15" w:type="dxa"/>
          </w:tblCellMar>
        </w:tblPrEx>
        <w:trPr>
          <w:trHeight w:val="840" w:hRule="atLeast"/>
          <w:jc w:val="center"/>
        </w:trPr>
        <w:tc>
          <w:tcPr>
            <w:tcW w:w="1824"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818"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60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小计</w:t>
            </w:r>
          </w:p>
        </w:tc>
        <w:tc>
          <w:tcPr>
            <w:tcW w:w="2027"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645" w:type="dxa"/>
            <w:tcBorders>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447"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合计</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生活补助</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办公设备购置</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大型修缮</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信息网络及软件购置更新</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numPr>
          <w:ilvl w:val="0"/>
          <w:numId w:val="2"/>
        </w:numPr>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一般公共预算“三公”经费预算表</w:t>
      </w:r>
    </w:p>
    <w:tbl>
      <w:tblPr>
        <w:tblStyle w:val="9"/>
        <w:tblW w:w="6869" w:type="dxa"/>
        <w:jc w:val="center"/>
        <w:tblInd w:w="0" w:type="dxa"/>
        <w:tblLayout w:type="fixed"/>
        <w:tblCellMar>
          <w:top w:w="15" w:type="dxa"/>
          <w:left w:w="15" w:type="dxa"/>
          <w:bottom w:w="15" w:type="dxa"/>
          <w:right w:w="15" w:type="dxa"/>
        </w:tblCellMar>
      </w:tblPr>
      <w:tblGrid>
        <w:gridCol w:w="3060"/>
        <w:gridCol w:w="3809"/>
      </w:tblGrid>
      <w:tr>
        <w:tblPrEx>
          <w:tblLayout w:type="fixed"/>
          <w:tblCellMar>
            <w:top w:w="15" w:type="dxa"/>
            <w:left w:w="15" w:type="dxa"/>
            <w:bottom w:w="15" w:type="dxa"/>
            <w:right w:w="15" w:type="dxa"/>
          </w:tblCellMar>
        </w:tblPrEx>
        <w:trPr>
          <w:trHeight w:val="660" w:hRule="atLeast"/>
          <w:jc w:val="center"/>
        </w:trPr>
        <w:tc>
          <w:tcPr>
            <w:tcW w:w="3060" w:type="dxa"/>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3809"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单位：元</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380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本年预算数</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38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1900.00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1、因公出国(境）费用</w:t>
            </w:r>
          </w:p>
        </w:tc>
        <w:tc>
          <w:tcPr>
            <w:tcW w:w="3809" w:type="dxa"/>
            <w:tcBorders>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2、公务接待费</w:t>
            </w:r>
          </w:p>
        </w:tc>
        <w:tc>
          <w:tcPr>
            <w:tcW w:w="3809" w:type="dxa"/>
            <w:tcBorders>
              <w:top w:val="single" w:color="000000" w:sz="4" w:space="0"/>
              <w:left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1900.00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3、公务用车费</w:t>
            </w:r>
          </w:p>
        </w:tc>
        <w:tc>
          <w:tcPr>
            <w:tcW w:w="380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其中：（1）公务用车运行维护费</w:t>
            </w:r>
          </w:p>
        </w:tc>
        <w:tc>
          <w:tcPr>
            <w:tcW w:w="3809" w:type="dxa"/>
            <w:tcBorders>
              <w:left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（2）公务用车购置</w:t>
            </w:r>
          </w:p>
        </w:tc>
        <w:tc>
          <w:tcPr>
            <w:tcW w:w="380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十一、政府性基金预算支出情况表</w:t>
      </w:r>
    </w:p>
    <w:tbl>
      <w:tblPr>
        <w:tblStyle w:val="9"/>
        <w:tblW w:w="6810" w:type="dxa"/>
        <w:tblInd w:w="0" w:type="dxa"/>
        <w:tblLayout w:type="fixed"/>
        <w:tblCellMar>
          <w:top w:w="15" w:type="dxa"/>
          <w:left w:w="15" w:type="dxa"/>
          <w:bottom w:w="15" w:type="dxa"/>
          <w:right w:w="15" w:type="dxa"/>
        </w:tblCellMar>
      </w:tblPr>
      <w:tblGrid>
        <w:gridCol w:w="4755"/>
        <w:gridCol w:w="2055"/>
      </w:tblGrid>
      <w:tr>
        <w:tblPrEx>
          <w:tblLayout w:type="fixed"/>
          <w:tblCellMar>
            <w:top w:w="15" w:type="dxa"/>
            <w:left w:w="15" w:type="dxa"/>
            <w:bottom w:w="15" w:type="dxa"/>
            <w:right w:w="15" w:type="dxa"/>
          </w:tblCellMar>
        </w:tblPrEx>
        <w:trPr>
          <w:trHeight w:val="360" w:hRule="atLeast"/>
        </w:trPr>
        <w:tc>
          <w:tcPr>
            <w:tcW w:w="4755" w:type="dxa"/>
            <w:vAlign w:val="bottom"/>
          </w:tcPr>
          <w:p>
            <w:pPr>
              <w:widowControl/>
              <w:jc w:val="lef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2055" w:type="dxa"/>
            <w:vAlign w:val="bottom"/>
          </w:tcPr>
          <w:p>
            <w:pPr>
              <w:widowControl/>
              <w:jc w:val="right"/>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单位：元</w:t>
            </w:r>
          </w:p>
        </w:tc>
      </w:tr>
      <w:tr>
        <w:tblPrEx>
          <w:tblLayout w:type="fixed"/>
          <w:tblCellMar>
            <w:top w:w="15" w:type="dxa"/>
            <w:left w:w="15" w:type="dxa"/>
            <w:bottom w:w="15" w:type="dxa"/>
            <w:right w:w="15" w:type="dxa"/>
          </w:tblCellMar>
        </w:tblPrEx>
        <w:trPr>
          <w:trHeight w:val="375" w:hRule="atLeast"/>
        </w:trPr>
        <w:tc>
          <w:tcPr>
            <w:tcW w:w="4755" w:type="dxa"/>
            <w:tcBorders>
              <w:top w:val="single" w:color="000000" w:sz="4" w:space="0"/>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功能科目</w:t>
            </w:r>
          </w:p>
        </w:tc>
        <w:tc>
          <w:tcPr>
            <w:tcW w:w="20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基金预算拨款</w:t>
            </w:r>
          </w:p>
        </w:tc>
      </w:tr>
      <w:tr>
        <w:tblPrEx>
          <w:tblLayout w:type="fixed"/>
          <w:tblCellMar>
            <w:top w:w="15" w:type="dxa"/>
            <w:left w:w="15" w:type="dxa"/>
            <w:bottom w:w="15" w:type="dxa"/>
            <w:right w:w="15" w:type="dxa"/>
          </w:tblCellMar>
        </w:tblPrEx>
        <w:trPr>
          <w:trHeight w:val="420" w:hRule="atLeast"/>
        </w:trPr>
        <w:tc>
          <w:tcPr>
            <w:tcW w:w="475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b/>
                <w:color w:val="auto"/>
                <w:sz w:val="20"/>
                <w:szCs w:val="20"/>
              </w:rPr>
            </w:pPr>
          </w:p>
        </w:tc>
        <w:tc>
          <w:tcPr>
            <w:tcW w:w="2055" w:type="dxa"/>
            <w:tcBorders>
              <w:top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r>
              <w:rPr>
                <w:rFonts w:hint="eastAsia" w:ascii="宋体" w:hAnsi="宋体" w:eastAsia="宋体" w:cs="宋体"/>
                <w:b/>
                <w:color w:val="auto"/>
                <w:sz w:val="20"/>
                <w:szCs w:val="20"/>
              </w:rPr>
              <w:t>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十二、部门预算基本支出预算表</w:t>
      </w:r>
    </w:p>
    <w:tbl>
      <w:tblPr>
        <w:tblStyle w:val="9"/>
        <w:tblW w:w="9714" w:type="dxa"/>
        <w:jc w:val="center"/>
        <w:tblInd w:w="0" w:type="dxa"/>
        <w:tblLayout w:type="fixed"/>
        <w:tblCellMar>
          <w:top w:w="15" w:type="dxa"/>
          <w:left w:w="15" w:type="dxa"/>
          <w:bottom w:w="15" w:type="dxa"/>
          <w:right w:w="15" w:type="dxa"/>
        </w:tblCellMar>
      </w:tblPr>
      <w:tblGrid>
        <w:gridCol w:w="1716"/>
        <w:gridCol w:w="1370"/>
        <w:gridCol w:w="1451"/>
        <w:gridCol w:w="1231"/>
        <w:gridCol w:w="963"/>
        <w:gridCol w:w="1554"/>
        <w:gridCol w:w="652"/>
        <w:gridCol w:w="777"/>
      </w:tblGrid>
      <w:tr>
        <w:tblPrEx>
          <w:tblLayout w:type="fixed"/>
          <w:tblCellMar>
            <w:top w:w="15" w:type="dxa"/>
            <w:left w:w="15" w:type="dxa"/>
            <w:bottom w:w="15" w:type="dxa"/>
            <w:right w:w="15" w:type="dxa"/>
          </w:tblCellMar>
        </w:tblPrEx>
        <w:trPr>
          <w:trHeight w:val="963" w:hRule="atLeast"/>
          <w:jc w:val="center"/>
        </w:trPr>
        <w:tc>
          <w:tcPr>
            <w:tcW w:w="8285" w:type="dxa"/>
            <w:gridSpan w:val="6"/>
            <w:tcBorders>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652" w:type="dxa"/>
            <w:vAlign w:val="center"/>
          </w:tcPr>
          <w:p>
            <w:pPr>
              <w:rPr>
                <w:rFonts w:ascii="宋体" w:hAnsi="宋体" w:eastAsia="宋体" w:cs="宋体"/>
                <w:color w:val="auto"/>
                <w:sz w:val="18"/>
                <w:szCs w:val="18"/>
              </w:rPr>
            </w:pPr>
          </w:p>
        </w:tc>
        <w:tc>
          <w:tcPr>
            <w:tcW w:w="777"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金额：元</w:t>
            </w:r>
          </w:p>
        </w:tc>
      </w:tr>
      <w:tr>
        <w:tblPrEx>
          <w:tblLayout w:type="fixed"/>
          <w:tblCellMar>
            <w:top w:w="15" w:type="dxa"/>
            <w:left w:w="15" w:type="dxa"/>
            <w:bottom w:w="15" w:type="dxa"/>
            <w:right w:w="15" w:type="dxa"/>
          </w:tblCellMar>
        </w:tblPrEx>
        <w:trPr>
          <w:trHeight w:val="459" w:hRule="atLeast"/>
          <w:jc w:val="center"/>
        </w:trPr>
        <w:tc>
          <w:tcPr>
            <w:tcW w:w="1716"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支出项目类别（功能科目）</w:t>
            </w:r>
          </w:p>
        </w:tc>
        <w:tc>
          <w:tcPr>
            <w:tcW w:w="1370"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总计</w:t>
            </w:r>
          </w:p>
        </w:tc>
        <w:tc>
          <w:tcPr>
            <w:tcW w:w="5199" w:type="dxa"/>
            <w:gridSpan w:val="4"/>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财政拨款</w:t>
            </w:r>
          </w:p>
        </w:tc>
        <w:tc>
          <w:tcPr>
            <w:tcW w:w="6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财政专户拨款</w:t>
            </w:r>
          </w:p>
        </w:tc>
        <w:tc>
          <w:tcPr>
            <w:tcW w:w="77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其他资金</w:t>
            </w:r>
          </w:p>
        </w:tc>
      </w:tr>
      <w:tr>
        <w:tblPrEx>
          <w:tblLayout w:type="fixed"/>
          <w:tblCellMar>
            <w:top w:w="15" w:type="dxa"/>
            <w:left w:w="15" w:type="dxa"/>
            <w:bottom w:w="15" w:type="dxa"/>
            <w:right w:w="15" w:type="dxa"/>
          </w:tblCellMar>
        </w:tblPrEx>
        <w:trPr>
          <w:trHeight w:val="877" w:hRule="atLeast"/>
          <w:jc w:val="center"/>
        </w:trPr>
        <w:tc>
          <w:tcPr>
            <w:tcW w:w="1716"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70"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451"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1231"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w:t>
            </w:r>
          </w:p>
        </w:tc>
        <w:tc>
          <w:tcPr>
            <w:tcW w:w="963"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政府性基金预算</w:t>
            </w:r>
          </w:p>
        </w:tc>
        <w:tc>
          <w:tcPr>
            <w:tcW w:w="155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国有资本经营预算</w:t>
            </w:r>
          </w:p>
        </w:tc>
        <w:tc>
          <w:tcPr>
            <w:tcW w:w="6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93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合计</w:t>
            </w:r>
          </w:p>
        </w:tc>
        <w:tc>
          <w:tcPr>
            <w:tcW w:w="1370"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1431856.00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93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【2050201】学前教育</w:t>
            </w:r>
          </w:p>
        </w:tc>
        <w:tc>
          <w:tcPr>
            <w:tcW w:w="1370"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93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【2050202】小学教育</w:t>
            </w:r>
          </w:p>
        </w:tc>
        <w:tc>
          <w:tcPr>
            <w:tcW w:w="1370"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1289788.00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1289788.00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1289788.00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94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【2210201】住房公积金</w:t>
            </w:r>
          </w:p>
        </w:tc>
        <w:tc>
          <w:tcPr>
            <w:tcW w:w="1370"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142068.00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142068.00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142068.00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十三、部门预算项目支出及其他支出预算表</w:t>
      </w:r>
    </w:p>
    <w:tbl>
      <w:tblPr>
        <w:tblStyle w:val="9"/>
        <w:tblW w:w="10566" w:type="dxa"/>
        <w:jc w:val="center"/>
        <w:tblInd w:w="0" w:type="dxa"/>
        <w:tblLayout w:type="fixed"/>
        <w:tblCellMar>
          <w:top w:w="15" w:type="dxa"/>
          <w:left w:w="15" w:type="dxa"/>
          <w:bottom w:w="15" w:type="dxa"/>
          <w:right w:w="15" w:type="dxa"/>
        </w:tblCellMar>
      </w:tblPr>
      <w:tblGrid>
        <w:gridCol w:w="1655"/>
        <w:gridCol w:w="1475"/>
        <w:gridCol w:w="1486"/>
        <w:gridCol w:w="1228"/>
        <w:gridCol w:w="1096"/>
        <w:gridCol w:w="1519"/>
        <w:gridCol w:w="731"/>
        <w:gridCol w:w="531"/>
        <w:gridCol w:w="845"/>
      </w:tblGrid>
      <w:tr>
        <w:tblPrEx>
          <w:tblLayout w:type="fixed"/>
          <w:tblCellMar>
            <w:top w:w="15" w:type="dxa"/>
            <w:left w:w="15" w:type="dxa"/>
            <w:bottom w:w="15" w:type="dxa"/>
            <w:right w:w="15" w:type="dxa"/>
          </w:tblCellMar>
        </w:tblPrEx>
        <w:trPr>
          <w:trHeight w:val="555" w:hRule="atLeast"/>
          <w:jc w:val="center"/>
        </w:trPr>
        <w:tc>
          <w:tcPr>
            <w:tcW w:w="8459" w:type="dxa"/>
            <w:gridSpan w:val="6"/>
            <w:tcBorders>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731" w:type="dxa"/>
            <w:vAlign w:val="center"/>
          </w:tcPr>
          <w:p>
            <w:pPr>
              <w:rPr>
                <w:rFonts w:ascii="宋体" w:hAnsi="宋体" w:eastAsia="宋体" w:cs="宋体"/>
                <w:b/>
                <w:color w:val="auto"/>
                <w:sz w:val="18"/>
                <w:szCs w:val="18"/>
              </w:rPr>
            </w:pPr>
          </w:p>
        </w:tc>
        <w:tc>
          <w:tcPr>
            <w:tcW w:w="531" w:type="dxa"/>
            <w:vAlign w:val="center"/>
          </w:tcPr>
          <w:p>
            <w:pPr>
              <w:rPr>
                <w:rFonts w:ascii="宋体" w:hAnsi="宋体" w:eastAsia="宋体" w:cs="宋体"/>
                <w:b/>
                <w:color w:val="auto"/>
                <w:sz w:val="18"/>
                <w:szCs w:val="18"/>
              </w:rPr>
            </w:pPr>
          </w:p>
        </w:tc>
        <w:tc>
          <w:tcPr>
            <w:tcW w:w="845"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金额：元</w:t>
            </w:r>
          </w:p>
        </w:tc>
      </w:tr>
      <w:tr>
        <w:tblPrEx>
          <w:tblLayout w:type="fixed"/>
          <w:tblCellMar>
            <w:top w:w="15" w:type="dxa"/>
            <w:left w:w="15" w:type="dxa"/>
            <w:bottom w:w="15" w:type="dxa"/>
            <w:right w:w="15" w:type="dxa"/>
          </w:tblCellMar>
        </w:tblPrEx>
        <w:trPr>
          <w:trHeight w:val="420" w:hRule="atLeast"/>
          <w:jc w:val="center"/>
        </w:trPr>
        <w:tc>
          <w:tcPr>
            <w:tcW w:w="1655"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支出项目类别（功能科目）</w:t>
            </w:r>
          </w:p>
        </w:tc>
        <w:tc>
          <w:tcPr>
            <w:tcW w:w="1475"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总计</w:t>
            </w:r>
          </w:p>
        </w:tc>
        <w:tc>
          <w:tcPr>
            <w:tcW w:w="5329" w:type="dxa"/>
            <w:gridSpan w:val="4"/>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财政拨款</w:t>
            </w:r>
          </w:p>
        </w:tc>
        <w:tc>
          <w:tcPr>
            <w:tcW w:w="73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财政专户拨款</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其他资金</w:t>
            </w:r>
          </w:p>
        </w:tc>
        <w:tc>
          <w:tcPr>
            <w:tcW w:w="8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绩效目标</w:t>
            </w:r>
          </w:p>
        </w:tc>
      </w:tr>
      <w:tr>
        <w:tblPrEx>
          <w:tblLayout w:type="fixed"/>
          <w:tblCellMar>
            <w:top w:w="15" w:type="dxa"/>
            <w:left w:w="15" w:type="dxa"/>
            <w:bottom w:w="15" w:type="dxa"/>
            <w:right w:w="15" w:type="dxa"/>
          </w:tblCellMar>
        </w:tblPrEx>
        <w:trPr>
          <w:trHeight w:val="840" w:hRule="atLeast"/>
          <w:jc w:val="center"/>
        </w:trPr>
        <w:tc>
          <w:tcPr>
            <w:tcW w:w="1655"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475"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48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1228"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w:t>
            </w:r>
          </w:p>
        </w:tc>
        <w:tc>
          <w:tcPr>
            <w:tcW w:w="109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政府性基金预算</w:t>
            </w:r>
          </w:p>
        </w:tc>
        <w:tc>
          <w:tcPr>
            <w:tcW w:w="151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国有资本经营预算</w:t>
            </w:r>
          </w:p>
        </w:tc>
        <w:tc>
          <w:tcPr>
            <w:tcW w:w="73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8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930" w:hRule="atLeast"/>
          <w:jc w:val="center"/>
        </w:trPr>
        <w:tc>
          <w:tcPr>
            <w:tcW w:w="1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合计</w:t>
            </w:r>
          </w:p>
        </w:tc>
        <w:tc>
          <w:tcPr>
            <w:tcW w:w="1475"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930" w:hRule="atLeast"/>
          <w:jc w:val="center"/>
        </w:trPr>
        <w:tc>
          <w:tcPr>
            <w:tcW w:w="1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【2050202】小学教育</w:t>
            </w:r>
          </w:p>
        </w:tc>
        <w:tc>
          <w:tcPr>
            <w:tcW w:w="1475"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center"/>
        <w:rPr>
          <w:rFonts w:ascii="仿宋_GB2312" w:hAnsi="仿宋_GB2312" w:eastAsia="仿宋_GB2312" w:cs="仿宋_GB2312"/>
          <w:b/>
          <w:bCs/>
          <w:color w:val="auto"/>
          <w:sz w:val="32"/>
          <w:szCs w:val="32"/>
          <w:shd w:val="clear" w:color="auto" w:fill="FFFFFF"/>
          <w:lang w:bidi="ar"/>
        </w:rPr>
      </w:pPr>
    </w:p>
    <w:p>
      <w:pPr>
        <w:widowControl/>
        <w:jc w:val="center"/>
        <w:rPr>
          <w:rFonts w:ascii="仿宋_GB2312" w:hAnsi="仿宋_GB2312" w:eastAsia="仿宋_GB2312" w:cs="仿宋_GB2312"/>
          <w:b/>
          <w:bCs/>
          <w:color w:val="auto"/>
          <w:sz w:val="32"/>
          <w:szCs w:val="32"/>
          <w:shd w:val="clear" w:color="auto" w:fill="FFFFFF"/>
        </w:rPr>
      </w:pPr>
      <w:r>
        <w:rPr>
          <w:rFonts w:hint="eastAsia" w:ascii="仿宋_GB2312" w:hAnsi="仿宋_GB2312" w:eastAsia="仿宋_GB2312" w:cs="仿宋_GB2312"/>
          <w:b/>
          <w:bCs/>
          <w:color w:val="auto"/>
          <w:sz w:val="32"/>
          <w:szCs w:val="32"/>
          <w:shd w:val="clear" w:color="auto" w:fill="FFFFFF"/>
          <w:lang w:bidi="ar"/>
        </w:rPr>
        <w:br w:type="page"/>
      </w:r>
      <w:r>
        <w:rPr>
          <w:rFonts w:hint="eastAsia" w:ascii="仿宋_GB2312" w:hAnsi="仿宋_GB2312" w:eastAsia="仿宋_GB2312" w:cs="仿宋_GB2312"/>
          <w:b/>
          <w:bCs/>
          <w:color w:val="auto"/>
          <w:sz w:val="32"/>
          <w:szCs w:val="32"/>
          <w:shd w:val="clear" w:color="auto" w:fill="FFFFFF"/>
          <w:lang w:bidi="ar"/>
        </w:rPr>
        <w:t>第三部分  2018年部门预算情况说明</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一、部门预算收支增减变化情况</w:t>
      </w:r>
    </w:p>
    <w:p>
      <w:pPr>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本单位收入预算1431856元，其中：一般公共预算收入1431856元，比2017年减少269101元，原因是：学生人数减少；政府性基金拨款0元，</w:t>
      </w:r>
      <w:r>
        <w:rPr>
          <w:rFonts w:hint="eastAsia" w:ascii="仿宋_GB2312" w:hAnsi="仿宋_GB2312" w:eastAsia="仿宋_GB2312" w:cs="仿宋_GB2312"/>
          <w:color w:val="auto"/>
          <w:kern w:val="0"/>
          <w:sz w:val="32"/>
          <w:szCs w:val="32"/>
        </w:rPr>
        <w:t>与2017年预算相比持平</w:t>
      </w:r>
      <w:r>
        <w:rPr>
          <w:rFonts w:hint="eastAsia" w:ascii="仿宋_GB2312" w:hAnsi="仿宋_GB2312" w:eastAsia="仿宋_GB2312" w:cs="仿宋_GB2312"/>
          <w:color w:val="auto"/>
          <w:sz w:val="32"/>
          <w:szCs w:val="32"/>
        </w:rPr>
        <w:t>，原因是：由于财政年初并没有安排政府性基金，故本单位本年政府性基金拨款为零。支出按经济分类划分：工资福利支出1095352元，比2017年减少335079元，原因是：教师减少和工资变动；对个人和家庭的补助支出142068元，比2017年减少3240元，原因是：教师退休。商品和服务支出92250元，比2017年减少17950元，原因是：学校学生减少。</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二、“三公”经费说明</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本单位2018年度三公经费预算共安排1900元。</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（1）因公出国（境）费预算0元，与2017年预算相比无增减变化。原因：没有安排因公出国（境）学习、考察、参观等项目计划。</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（2）公务用车购置决算支出0元，与2017年预算相比无增减变化。</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（3）公务接待费决算支出1900元，与2017年预算相比无增减变化。</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三、机关运行经费情况</w:t>
      </w:r>
    </w:p>
    <w:p>
      <w:pPr>
        <w:widowControl/>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本单位2018年机关运行经费合计6900元，具体包括公务接待费1900元，邮电费5000元，其他交通费用0元，公务用车运行维护费0元，业务费0元。比2017年预算相比持平，主要原因是:支出基本合理。</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四、政府采购安排情况</w:t>
      </w:r>
    </w:p>
    <w:p>
      <w:pPr>
        <w:widowControl/>
        <w:shd w:val="clear" w:color="auto" w:fill="FFFFFF"/>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2018年政府采购预算共9000元，其中包括：政府采购货物支出0.9万元、政府采购工程支出0万元。根据工作需要实际情况适时追加。</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五、国有资产占有使用情况</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rPr>
        <w:t>截至2017年12月31日，本单位共有车辆</w:t>
      </w:r>
      <w:r>
        <w:rPr>
          <w:rFonts w:hint="eastAsia" w:ascii="仿宋_GB2312" w:hAnsi="仿宋_GB2312" w:eastAsia="仿宋_GB2312" w:cs="仿宋_GB2312"/>
          <w:color w:val="auto"/>
          <w:kern w:val="0"/>
          <w:sz w:val="32"/>
          <w:szCs w:val="32"/>
        </w:rPr>
        <w:t>0</w:t>
      </w:r>
      <w:r>
        <w:rPr>
          <w:rFonts w:hint="eastAsia" w:ascii="仿宋_GB2312" w:hAnsi="仿宋_GB2312" w:eastAsia="仿宋_GB2312" w:cs="仿宋_GB2312"/>
          <w:color w:val="auto"/>
          <w:sz w:val="32"/>
          <w:szCs w:val="32"/>
        </w:rPr>
        <w:t>辆；单位价值50万元以上的通用设备</w:t>
      </w:r>
      <w:r>
        <w:rPr>
          <w:rFonts w:hint="eastAsia" w:ascii="仿宋_GB2312" w:hAnsi="仿宋_GB2312" w:eastAsia="仿宋_GB2312" w:cs="仿宋_GB2312"/>
          <w:color w:val="auto"/>
          <w:kern w:val="0"/>
          <w:sz w:val="32"/>
          <w:szCs w:val="32"/>
        </w:rPr>
        <w:t>0</w:t>
      </w:r>
      <w:r>
        <w:rPr>
          <w:rFonts w:hint="eastAsia" w:ascii="仿宋_GB2312" w:hAnsi="仿宋_GB2312" w:eastAsia="仿宋_GB2312" w:cs="仿宋_GB2312"/>
          <w:color w:val="auto"/>
          <w:sz w:val="32"/>
          <w:szCs w:val="32"/>
        </w:rPr>
        <w:t>台（套）；单位价值100万元以上专用设备</w:t>
      </w:r>
      <w:r>
        <w:rPr>
          <w:rFonts w:hint="eastAsia" w:ascii="仿宋_GB2312" w:hAnsi="仿宋_GB2312" w:eastAsia="仿宋_GB2312" w:cs="仿宋_GB2312"/>
          <w:color w:val="auto"/>
          <w:kern w:val="0"/>
          <w:sz w:val="32"/>
          <w:szCs w:val="32"/>
        </w:rPr>
        <w:t>0</w:t>
      </w:r>
      <w:r>
        <w:rPr>
          <w:rFonts w:hint="eastAsia" w:ascii="仿宋_GB2312" w:hAnsi="仿宋_GB2312" w:eastAsia="仿宋_GB2312" w:cs="仿宋_GB2312"/>
          <w:color w:val="auto"/>
          <w:sz w:val="32"/>
          <w:szCs w:val="32"/>
        </w:rPr>
        <w:t>台（套）。资产变动的情况：增加10000元。</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六、预算绩效信息公开情况</w:t>
      </w:r>
    </w:p>
    <w:p>
      <w:pPr>
        <w:autoSpaceDE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2018年，本单位不进行预算绩效评价。</w:t>
      </w:r>
    </w:p>
    <w:p>
      <w:pPr>
        <w:widowControl/>
        <w:shd w:val="clear" w:color="auto" w:fill="FFFFFF"/>
        <w:jc w:val="left"/>
        <w:rPr>
          <w:rFonts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七、关于“政府性基金”经费预算为零的说明</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由于财政年初并没有安排政府性基金，故本单位本年“政府性基金”经费预算为零。</w:t>
      </w:r>
    </w:p>
    <w:p>
      <w:pPr>
        <w:widowControl/>
        <w:jc w:val="center"/>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br w:type="page"/>
      </w:r>
      <w:r>
        <w:rPr>
          <w:rFonts w:hint="eastAsia" w:ascii="仿宋_GB2312" w:hAnsi="仿宋_GB2312" w:eastAsia="仿宋_GB2312" w:cs="仿宋_GB2312"/>
          <w:b/>
          <w:bCs/>
          <w:color w:val="auto"/>
          <w:sz w:val="32"/>
          <w:szCs w:val="32"/>
          <w:shd w:val="clear" w:color="auto" w:fill="FFFFFF"/>
          <w:lang w:bidi="ar"/>
        </w:rPr>
        <w:t>第四部分  名词解释</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（一）财政拨款，是指县级财政当年拨付的资金。</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（二）事业收入，是指事业单位开展业务活动取得的收入。</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（三）上级补助收入，指事业单位收到上级单位拨入的非财政补助资金。</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（四）经营收入，是指事业单位在业务活动之外开展非独立核算经营活动取得的收入。</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（五）附属单位缴款，指事业单位收到附属单位按规定缴来的款项。</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（六）其他收入，是指预算单位在“财政拨款、事业收入、经营收入”等之外取得的收入。</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七）用事业基金弥补收支差额，是指事业单位在当年的“财政拨款”、“事业收入”、“经营收入”和“其他收入”等不足以安排当年支出的情况下，使用以前年度积累的事业基金（即事业单位以前年度收支相抵后，按国家规定提取用于弥补以后年度收支差额的基金）弥补当年收支缺口的资金。</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（八）上年结转和结余，是指以前年度支出预算因客观条件变化未执行完毕、结转到本年度按规定继续使用的资金，既包括财政拨款的结转和结余，也包括事业收入、经营收入和其他收入的结转和结余。</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（九）一般公共服务（类）支出，指政府提供一般公共服务的支出。如财政局保障机构正常运转、开展财政管理活动所发生的基本支出和项目支出。</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十)社会保障和就业（类）支出,指政府在社会保障与就业方面的支出。包括社会保障与就业管理事务、民政管理事务、财政对社会保险基金补助、行政事业单位离退休、企业改革补助、就业补助、抚恤、退役安置、社会福利、残疾人事业、城市居民最低生活保障、自然灾害生活救助、红十字会事务等。如行政机关开支的离退休人员经费和离退休干部管理机构为离退休人员提供管理和服务所发生的工作支出。</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（十一）基本支出，是指为保障机构正常运转、完成日常工作任务而发生的人员支出和公用支出。</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（十二）项目支出，是指在基本支出之外为完成特定的行政工作任务或事业发展目标所发生的支出。</w:t>
      </w:r>
    </w:p>
    <w:p>
      <w:pPr>
        <w:widowControl/>
        <w:jc w:val="left"/>
        <w:rPr>
          <w:rFonts w:ascii="Calibri" w:hAnsi="Calibri" w:eastAsia="宋体" w:cs="Times New Roman"/>
          <w:color w:val="auto"/>
          <w:sz w:val="32"/>
          <w:szCs w:val="32"/>
        </w:rPr>
      </w:pPr>
      <w:r>
        <w:rPr>
          <w:rFonts w:hint="eastAsia" w:ascii="仿宋_GB2312" w:hAnsi="仿宋_GB2312" w:eastAsia="仿宋_GB2312" w:cs="仿宋_GB2312"/>
          <w:color w:val="auto"/>
          <w:sz w:val="32"/>
          <w:szCs w:val="32"/>
          <w:shd w:val="clear" w:color="auto" w:fill="FFFFFF"/>
        </w:rPr>
        <w:t>（十三）</w:t>
      </w:r>
      <w:r>
        <w:rPr>
          <w:color w:val="auto"/>
        </w:rPr>
        <w:fldChar w:fldCharType="begin"/>
      </w:r>
      <w:r>
        <w:rPr>
          <w:color w:val="auto"/>
        </w:rPr>
        <w:instrText xml:space="preserve"> HYPERLINK "http://www.baidu.com/s?wd=%E4%B8%89%E5%85%AC&amp;hl_tag=textlink&amp;tn=SE_hldp01350_v6v6zkg6" \t "http://www.cjbd.com.cn/_blank" </w:instrText>
      </w:r>
      <w:r>
        <w:rPr>
          <w:color w:val="auto"/>
        </w:rPr>
        <w:fldChar w:fldCharType="separate"/>
      </w:r>
      <w:r>
        <w:rPr>
          <w:rFonts w:hint="eastAsia" w:ascii="仿宋_GB2312" w:hAnsi="仿宋_GB2312" w:eastAsia="仿宋_GB2312" w:cs="仿宋_GB2312"/>
          <w:color w:val="auto"/>
          <w:sz w:val="32"/>
          <w:szCs w:val="32"/>
          <w:shd w:val="clear" w:color="auto" w:fill="FFFFFF"/>
        </w:rPr>
        <w:t>三公</w:t>
      </w:r>
      <w:r>
        <w:rPr>
          <w:rFonts w:hint="eastAsia" w:ascii="仿宋_GB2312" w:hAnsi="仿宋_GB2312" w:eastAsia="仿宋_GB2312" w:cs="仿宋_GB2312"/>
          <w:color w:val="auto"/>
          <w:sz w:val="32"/>
          <w:szCs w:val="32"/>
          <w:shd w:val="clear" w:color="auto" w:fill="FFFFFF"/>
        </w:rPr>
        <w:fldChar w:fldCharType="end"/>
      </w:r>
      <w:r>
        <w:rPr>
          <w:rFonts w:hint="eastAsia" w:ascii="仿宋_GB2312" w:hAnsi="仿宋_GB2312" w:eastAsia="仿宋_GB2312" w:cs="仿宋_GB2312"/>
          <w:color w:val="auto"/>
          <w:sz w:val="32"/>
          <w:szCs w:val="32"/>
          <w:shd w:val="clear" w:color="auto" w:fill="FFFFFF"/>
        </w:rPr>
        <w:t>经费，是指政府部门因公出国（境）费用、</w:t>
      </w:r>
      <w:r>
        <w:rPr>
          <w:color w:val="auto"/>
        </w:rPr>
        <w:fldChar w:fldCharType="begin"/>
      </w:r>
      <w:r>
        <w:rPr>
          <w:color w:val="auto"/>
        </w:rPr>
        <w:instrText xml:space="preserve"> HYPERLINK "http://www.baidu.com/s?wd=%E5%85%AC%E5%8A%A1%E7%94%A8%E8%BD%A6&amp;hl_tag=textlink&amp;tn=SE_hldp01350_v6v6zkg6" \t "http://www.cjbd.com.cn/_blank" </w:instrText>
      </w:r>
      <w:r>
        <w:rPr>
          <w:color w:val="auto"/>
        </w:rPr>
        <w:fldChar w:fldCharType="separate"/>
      </w:r>
      <w:r>
        <w:rPr>
          <w:rFonts w:hint="eastAsia" w:ascii="仿宋_GB2312" w:hAnsi="仿宋_GB2312" w:eastAsia="仿宋_GB2312" w:cs="仿宋_GB2312"/>
          <w:color w:val="auto"/>
          <w:sz w:val="32"/>
          <w:szCs w:val="32"/>
          <w:shd w:val="clear" w:color="auto" w:fill="FFFFFF"/>
        </w:rPr>
        <w:t>公务用车</w:t>
      </w:r>
      <w:r>
        <w:rPr>
          <w:rFonts w:hint="eastAsia" w:ascii="仿宋_GB2312" w:hAnsi="仿宋_GB2312" w:eastAsia="仿宋_GB2312" w:cs="仿宋_GB2312"/>
          <w:color w:val="auto"/>
          <w:sz w:val="32"/>
          <w:szCs w:val="32"/>
          <w:shd w:val="clear" w:color="auto" w:fill="FFFFFF"/>
        </w:rPr>
        <w:fldChar w:fldCharType="end"/>
      </w:r>
      <w:r>
        <w:rPr>
          <w:rFonts w:hint="eastAsia" w:ascii="仿宋_GB2312" w:hAnsi="仿宋_GB2312" w:eastAsia="仿宋_GB2312" w:cs="仿宋_GB2312"/>
          <w:color w:val="auto"/>
          <w:sz w:val="32"/>
          <w:szCs w:val="32"/>
          <w:shd w:val="clear" w:color="auto" w:fill="FFFFFF"/>
        </w:rPr>
        <w:t>购置及运行费、</w:t>
      </w:r>
      <w:r>
        <w:rPr>
          <w:color w:val="auto"/>
        </w:rPr>
        <w:fldChar w:fldCharType="begin"/>
      </w:r>
      <w:r>
        <w:rPr>
          <w:color w:val="auto"/>
        </w:rPr>
        <w:instrText xml:space="preserve"> HYPERLINK "http://www.baidu.com/s?wd=%E5%85%AC%E5%8A%A1%E6%8E%A5%E5%BE%85%E8%B4%B9&amp;hl_tag=textlink&amp;tn=SE_hldp01350_v6v6zkg6" \t "http://www.cjbd.com.cn/_blank" </w:instrText>
      </w:r>
      <w:r>
        <w:rPr>
          <w:color w:val="auto"/>
        </w:rPr>
        <w:fldChar w:fldCharType="separate"/>
      </w:r>
      <w:r>
        <w:rPr>
          <w:rFonts w:hint="eastAsia" w:ascii="仿宋_GB2312" w:hAnsi="仿宋_GB2312" w:eastAsia="仿宋_GB2312" w:cs="仿宋_GB2312"/>
          <w:color w:val="auto"/>
          <w:sz w:val="32"/>
          <w:szCs w:val="32"/>
          <w:shd w:val="clear" w:color="auto" w:fill="FFFFFF"/>
        </w:rPr>
        <w:t>公务接待费</w:t>
      </w:r>
      <w:r>
        <w:rPr>
          <w:rFonts w:hint="eastAsia" w:ascii="仿宋_GB2312" w:hAnsi="仿宋_GB2312" w:eastAsia="仿宋_GB2312" w:cs="仿宋_GB2312"/>
          <w:color w:val="auto"/>
          <w:sz w:val="32"/>
          <w:szCs w:val="32"/>
          <w:shd w:val="clear" w:color="auto" w:fill="FFFFFF"/>
        </w:rPr>
        <w:fldChar w:fldCharType="end"/>
      </w:r>
      <w:r>
        <w:rPr>
          <w:rFonts w:hint="eastAsia" w:ascii="仿宋_GB2312" w:hAnsi="仿宋_GB2312" w:eastAsia="仿宋_GB2312" w:cs="仿宋_GB2312"/>
          <w:color w:val="auto"/>
          <w:sz w:val="32"/>
          <w:szCs w:val="32"/>
          <w:shd w:val="clear" w:color="auto" w:fill="FFFFFF"/>
        </w:rPr>
        <w:t>用三项。</w:t>
      </w:r>
    </w:p>
    <w:p>
      <w:pPr>
        <w:rPr>
          <w:color w:val="auto"/>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MAHeaXsAQAAtAMAAA4AAABkcnMvZTJvRG9jLnhtbK1TS47UMBDdI3EH&#10;y3s6SSMGiDo9GmbUCGn4SAMHcDtOYhG7rLK7k+YAcANWbNhzrj4HZafTDLBDbKyKXX5+79XL6nI0&#10;Pdsr9BpsxYtFzpmyEmpt24p/eL959IwzH4StRQ9WVfygPL9cP3ywGlypltBBXytkBGJ9ObiKdyG4&#10;Msu87JQRfgFOWTpsAI0I9IltVqMYCN302TLPL7IBsHYIUnlPuzfTIV8n/KZRMrxtGq8C6ytO3EJa&#10;Ma3buGbrlShbFK7T8kRD/AMLI7SlR89QNyIItkP9F5TREsFDExYSTAZNo6VKGkhNkf+h5q4TTiUt&#10;ZI53Z5v8/4OVb/bvkOmaZseZFYZGdPz65fjtx/H7Z1ZEewbnS+q6c9QXxhcwxtYo1btbkB89s3Dd&#10;CduqK0QYOiVqopduZveuTjg+gmyH11DTO2IXIAGNDZoISG4wQqcxHc6jUWNgMj5ZXCzzJ5xJOioe&#10;P3+ap9FlopwvO/ThpQLDYlFxpMkncLG/9YFkUOvcEt+ysNF9n6bf2982qDHuJPKR78Q8jNvxZMYW&#10;6gPJQJjCROGnogP8xNlAQaq4paRz1r+yZETM3FzgXGznQlhJFyseOJvK6zBlc+dQtx3hzlZfkVkb&#10;nYREVycOJ5YUjaTvFOOYvfvfqevXz7b+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YulhTQAAAA&#10;AwEAAA8AAAAAAAAAAQAgAAAAIgAAAGRycy9kb3ducmV2LnhtbFBLAQIUABQAAAAIAIdO4kDAB3ml&#10;7AEAALQDAAAOAAAAAAAAAAEAIAAAAB8BAABkcnMvZTJvRG9jLnhtbFBLBQYAAAAABgAGAFkBAAB9&#10;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7955D"/>
    <w:multiLevelType w:val="singleLevel"/>
    <w:tmpl w:val="8B57955D"/>
    <w:lvl w:ilvl="0" w:tentative="0">
      <w:start w:val="9"/>
      <w:numFmt w:val="chineseCounting"/>
      <w:suff w:val="nothing"/>
      <w:lvlText w:val="%1、"/>
      <w:lvlJc w:val="left"/>
      <w:rPr>
        <w:rFonts w:hint="eastAsia"/>
      </w:rPr>
    </w:lvl>
  </w:abstractNum>
  <w:abstractNum w:abstractNumId="1">
    <w:nsid w:val="2768A3D9"/>
    <w:multiLevelType w:val="singleLevel"/>
    <w:tmpl w:val="2768A3D9"/>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733"/>
    <w:rsid w:val="000725E1"/>
    <w:rsid w:val="003912DA"/>
    <w:rsid w:val="004C69CA"/>
    <w:rsid w:val="004E1ED1"/>
    <w:rsid w:val="00653301"/>
    <w:rsid w:val="00675733"/>
    <w:rsid w:val="00861F3A"/>
    <w:rsid w:val="008859AB"/>
    <w:rsid w:val="008C6DAD"/>
    <w:rsid w:val="009447A8"/>
    <w:rsid w:val="009A12AE"/>
    <w:rsid w:val="009D4831"/>
    <w:rsid w:val="00A54CD4"/>
    <w:rsid w:val="00A57BAA"/>
    <w:rsid w:val="00B137D2"/>
    <w:rsid w:val="00B21C1A"/>
    <w:rsid w:val="00B36C94"/>
    <w:rsid w:val="00BA17F2"/>
    <w:rsid w:val="00C00BA7"/>
    <w:rsid w:val="00C4479E"/>
    <w:rsid w:val="00CE2C1E"/>
    <w:rsid w:val="00DC0F04"/>
    <w:rsid w:val="00E3255B"/>
    <w:rsid w:val="00E948E5"/>
    <w:rsid w:val="00EF0ABE"/>
    <w:rsid w:val="00EF7075"/>
    <w:rsid w:val="00F43480"/>
    <w:rsid w:val="00FA1F53"/>
    <w:rsid w:val="00FA6CE0"/>
    <w:rsid w:val="00FB62ED"/>
    <w:rsid w:val="5DC17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0"/>
    <w:pPr>
      <w:jc w:val="left"/>
      <w:outlineLvl w:val="0"/>
    </w:pPr>
    <w:rPr>
      <w:rFonts w:hint="eastAsia" w:ascii="宋体" w:hAnsi="宋体" w:eastAsia="宋体" w:cs="Times New Roman"/>
      <w:color w:val="000000"/>
      <w:kern w:val="44"/>
      <w:sz w:val="24"/>
      <w:szCs w:val="24"/>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rFonts w:ascii="Calibri" w:hAnsi="Calibri" w:eastAsia="宋体" w:cs="Times New Roman"/>
      <w:sz w:val="18"/>
      <w:szCs w:val="24"/>
    </w:rPr>
  </w:style>
  <w:style w:type="paragraph" w:styleId="4">
    <w:name w:val="header"/>
    <w:basedOn w:val="1"/>
    <w:link w:val="1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eastAsia="宋体" w:cs="Times New Roman"/>
      <w:sz w:val="18"/>
      <w:szCs w:val="24"/>
    </w:rPr>
  </w:style>
  <w:style w:type="paragraph" w:styleId="5">
    <w:name w:val="Normal (Web)"/>
    <w:basedOn w:val="1"/>
    <w:uiPriority w:val="0"/>
    <w:pPr>
      <w:spacing w:line="432" w:lineRule="auto"/>
      <w:jc w:val="left"/>
    </w:pPr>
    <w:rPr>
      <w:rFonts w:ascii="Calibri" w:hAnsi="Calibri" w:eastAsia="宋体" w:cs="Times New Roman"/>
      <w:color w:val="000000"/>
      <w:kern w:val="0"/>
      <w:sz w:val="24"/>
      <w:szCs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10">
    <w:name w:val="标题 1 Char"/>
    <w:basedOn w:val="6"/>
    <w:link w:val="2"/>
    <w:uiPriority w:val="0"/>
    <w:rPr>
      <w:rFonts w:ascii="宋体" w:hAnsi="宋体" w:eastAsia="宋体" w:cs="Times New Roman"/>
      <w:color w:val="000000"/>
      <w:kern w:val="44"/>
      <w:sz w:val="24"/>
      <w:szCs w:val="24"/>
    </w:rPr>
  </w:style>
  <w:style w:type="character" w:customStyle="1" w:styleId="11">
    <w:name w:val="页眉 Char"/>
    <w:basedOn w:val="6"/>
    <w:link w:val="4"/>
    <w:qFormat/>
    <w:uiPriority w:val="0"/>
    <w:rPr>
      <w:rFonts w:ascii="Calibri" w:hAnsi="Calibri" w:eastAsia="宋体" w:cs="Times New Roman"/>
      <w:sz w:val="18"/>
      <w:szCs w:val="24"/>
    </w:rPr>
  </w:style>
  <w:style w:type="character" w:customStyle="1" w:styleId="12">
    <w:name w:val="页脚 Char"/>
    <w:basedOn w:val="6"/>
    <w:link w:val="3"/>
    <w:qFormat/>
    <w:uiPriority w:val="0"/>
    <w:rPr>
      <w:rFonts w:ascii="Calibri" w:hAnsi="Calibri" w:eastAsia="宋体" w:cs="Times New Roman"/>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19</Pages>
  <Words>1266</Words>
  <Characters>7221</Characters>
  <Lines>60</Lines>
  <Paragraphs>16</Paragraphs>
  <TotalTime>0</TotalTime>
  <ScaleCrop>false</ScaleCrop>
  <LinksUpToDate>false</LinksUpToDate>
  <CharactersWithSpaces>8471</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2018-03-29T13:43:00Z</dcterms:created>
  <dc:creator>user</dc:creator>
  <cp:lastModifiedBy>赖亮宇</cp:lastModifiedBy>
  <dcterms:modified xsi:type="dcterms:W3CDTF">2018-04-02T06:48:29Z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