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auto"/>
        <w:ind w:left="0" w:right="0" w:firstLine="0"/>
        <w:jc w:val="center"/>
        <w:rPr>
          <w:rFonts w:hint="eastAsia" w:ascii="Calibri" w:hAnsi="Calibri" w:eastAsia="宋体" w:cs="Calibri"/>
          <w:b/>
          <w:color w:val="auto"/>
          <w:spacing w:val="0"/>
          <w:position w:val="0"/>
          <w:sz w:val="44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0"/>
        <w:jc w:val="center"/>
        <w:rPr>
          <w:rFonts w:hint="eastAsia" w:ascii="Calibri" w:hAnsi="Calibri" w:eastAsia="宋体" w:cs="Calibri"/>
          <w:b/>
          <w:color w:val="auto"/>
          <w:spacing w:val="0"/>
          <w:position w:val="0"/>
          <w:sz w:val="44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0"/>
        <w:jc w:val="center"/>
        <w:rPr>
          <w:rFonts w:hint="eastAsia" w:ascii="Calibri" w:hAnsi="Calibri" w:eastAsia="宋体" w:cs="Calibri"/>
          <w:b/>
          <w:color w:val="auto"/>
          <w:spacing w:val="0"/>
          <w:position w:val="0"/>
          <w:sz w:val="44"/>
          <w:shd w:val="clear" w:fill="auto"/>
          <w:lang w:eastAsia="zh-CN"/>
        </w:rPr>
      </w:pPr>
    </w:p>
    <w:p>
      <w:pPr>
        <w:spacing w:before="0" w:after="0" w:line="240" w:lineRule="auto"/>
        <w:ind w:left="0" w:right="0" w:firstLine="0"/>
        <w:jc w:val="center"/>
        <w:rPr>
          <w:rFonts w:ascii="Calibri" w:hAnsi="Calibri" w:eastAsia="Calibri" w:cs="Calibri"/>
          <w:b/>
          <w:color w:val="auto"/>
          <w:spacing w:val="0"/>
          <w:position w:val="0"/>
          <w:sz w:val="44"/>
          <w:shd w:val="clear" w:fill="auto"/>
        </w:rPr>
      </w:pPr>
      <w:bookmarkStart w:id="0" w:name="_GoBack"/>
      <w:r>
        <w:rPr>
          <w:rFonts w:hint="eastAsia" w:ascii="Calibri" w:hAnsi="Calibri" w:eastAsia="宋体" w:cs="Calibri"/>
          <w:b/>
          <w:color w:val="auto"/>
          <w:spacing w:val="0"/>
          <w:position w:val="0"/>
          <w:sz w:val="44"/>
          <w:shd w:val="clear" w:fill="auto"/>
          <w:lang w:eastAsia="zh-CN"/>
        </w:rPr>
        <w:t>遂溪县安监局</w:t>
      </w:r>
      <w:r>
        <w:rPr>
          <w:rFonts w:ascii="Calibri" w:hAnsi="Calibri" w:eastAsia="Calibri" w:cs="Calibri"/>
          <w:b/>
          <w:color w:val="auto"/>
          <w:spacing w:val="0"/>
          <w:position w:val="0"/>
          <w:sz w:val="44"/>
          <w:shd w:val="clear" w:fill="auto"/>
        </w:rPr>
        <w:t>2015</w:t>
      </w:r>
      <w:r>
        <w:rPr>
          <w:rFonts w:ascii="宋体" w:hAnsi="宋体" w:eastAsia="宋体" w:cs="宋体"/>
          <w:b/>
          <w:color w:val="auto"/>
          <w:spacing w:val="0"/>
          <w:position w:val="0"/>
          <w:sz w:val="44"/>
          <w:shd w:val="clear" w:fill="auto"/>
        </w:rPr>
        <w:t>年决算批复说明</w:t>
      </w:r>
      <w:bookmarkEnd w:id="0"/>
    </w:p>
    <w:p>
      <w:pPr>
        <w:spacing w:before="0" w:after="0" w:line="240" w:lineRule="auto"/>
        <w:ind w:left="0" w:right="0" w:firstLine="0"/>
        <w:jc w:val="center"/>
        <w:rPr>
          <w:rFonts w:ascii="Calibri" w:hAnsi="Calibri" w:eastAsia="Calibri" w:cs="Calibri"/>
          <w:b/>
          <w:color w:val="FF0000"/>
          <w:spacing w:val="0"/>
          <w:position w:val="0"/>
          <w:sz w:val="32"/>
          <w:shd w:val="clear" w:fill="auto"/>
        </w:rPr>
      </w:pPr>
    </w:p>
    <w:p>
      <w:pPr>
        <w:numPr>
          <w:numId w:val="0"/>
        </w:numPr>
        <w:spacing w:before="0" w:after="0" w:line="240" w:lineRule="auto"/>
        <w:ind w:leftChars="0" w:right="0" w:rightChars="0"/>
        <w:jc w:val="left"/>
        <w:rPr>
          <w:rFonts w:hint="eastAsia" w:ascii="仿宋_GB2312" w:hAnsi="仿宋_GB2312" w:eastAsia="仿宋_GB2312" w:cs="仿宋_GB2312"/>
          <w:b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30"/>
          <w:shd w:val="clear" w:fill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color w:val="auto"/>
          <w:spacing w:val="0"/>
          <w:position w:val="0"/>
          <w:sz w:val="30"/>
          <w:szCs w:val="30"/>
          <w:shd w:val="clear" w:fill="auto"/>
          <w:lang w:eastAsia="zh-CN"/>
        </w:rPr>
        <w:t>一、</w:t>
      </w:r>
      <w:r>
        <w:rPr>
          <w:rFonts w:hint="eastAsia" w:ascii="仿宋_GB2312" w:hAnsi="仿宋_GB2312" w:eastAsia="仿宋_GB2312" w:cs="仿宋_GB2312"/>
          <w:b/>
          <w:color w:val="auto"/>
          <w:spacing w:val="0"/>
          <w:position w:val="0"/>
          <w:sz w:val="30"/>
          <w:szCs w:val="30"/>
          <w:shd w:val="clear" w:fill="auto"/>
        </w:rPr>
        <w:t>部门职责、机构设置</w:t>
      </w:r>
    </w:p>
    <w:p>
      <w:pPr>
        <w:numPr>
          <w:ilvl w:val="0"/>
          <w:numId w:val="1"/>
        </w:numPr>
        <w:spacing w:before="0" w:after="0" w:line="240" w:lineRule="auto"/>
        <w:ind w:left="0" w:right="0" w:firstLine="630"/>
        <w:jc w:val="both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主要职能：我单位主要职能是 1、综合监督管理全县安全生产工作。2、依法行使县安全生产综合监督管理职权。3、承担县安全生产委员会办公室的工作。4、综合管理全县安全生产伤亡事故调查处理和统计分析工作。5、负责综合监督管理非煤矿山、危险化学品、烟花爆竹和民用爆破器材生产经营单位的安全生产工作。6、指导全县安全生产宣传教育工作。7、负责监督管理县域工矿商贸生产经营单位安全生产工作。</w:t>
      </w:r>
    </w:p>
    <w:p>
      <w:pPr>
        <w:numPr>
          <w:ilvl w:val="0"/>
          <w:numId w:val="1"/>
        </w:numPr>
        <w:spacing w:before="0" w:after="0" w:line="240" w:lineRule="auto"/>
        <w:ind w:left="0" w:right="0" w:firstLine="630"/>
        <w:jc w:val="both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机构设置：遂溪县安全生产监督管理局内设机构 5个，内设机构名称：办公室、监督管理股、执法监察股（执法监察大队）、安全生产应急救援办公室（县安全生产应急救援指挥中心）、职业安全健康监督管理股。</w:t>
      </w:r>
    </w:p>
    <w:p>
      <w:pPr>
        <w:numPr>
          <w:ilvl w:val="0"/>
          <w:numId w:val="1"/>
        </w:numPr>
        <w:spacing w:before="0" w:after="0" w:line="240" w:lineRule="auto"/>
        <w:ind w:left="0" w:right="0" w:firstLine="630"/>
        <w:jc w:val="both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 xml:space="preserve">人员构成情况：我单位编制数为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，机关事业编制数为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，年末实有在职人员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14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人，</w:t>
      </w:r>
      <w:r>
        <w:rPr>
          <w:rFonts w:hint="eastAsia" w:ascii="仿宋_GB2312" w:hAnsi="仿宋_GB2312" w:eastAsia="仿宋_GB2312" w:cs="仿宋_GB2312"/>
          <w:color w:val="000000"/>
          <w:spacing w:val="0"/>
          <w:position w:val="0"/>
          <w:sz w:val="30"/>
          <w:szCs w:val="30"/>
          <w:shd w:val="clear" w:fill="auto"/>
        </w:rPr>
        <w:t>退休人员</w:t>
      </w:r>
      <w:r>
        <w:rPr>
          <w:rFonts w:hint="eastAsia" w:ascii="仿宋_GB2312" w:hAnsi="仿宋_GB2312" w:eastAsia="仿宋_GB2312" w:cs="仿宋_GB2312"/>
          <w:color w:val="000000"/>
          <w:spacing w:val="0"/>
          <w:position w:val="0"/>
          <w:sz w:val="30"/>
          <w:szCs w:val="30"/>
          <w:u w:val="single"/>
          <w:shd w:val="clear" w:fill="auto"/>
        </w:rPr>
        <w:t xml:space="preserve">  1  </w:t>
      </w:r>
      <w:r>
        <w:rPr>
          <w:rFonts w:hint="eastAsia" w:ascii="仿宋_GB2312" w:hAnsi="仿宋_GB2312" w:eastAsia="仿宋_GB2312" w:cs="仿宋_GB2312"/>
          <w:color w:val="000000"/>
          <w:spacing w:val="0"/>
          <w:position w:val="0"/>
          <w:sz w:val="30"/>
          <w:szCs w:val="30"/>
          <w:shd w:val="clear" w:fill="auto"/>
        </w:rPr>
        <w:t>人。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独立编制机构数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 1 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个，独立核算机构数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 1  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个。</w:t>
      </w:r>
    </w:p>
    <w:p>
      <w:pPr>
        <w:spacing w:before="0" w:after="0" w:line="600" w:lineRule="auto"/>
        <w:ind w:left="0" w:right="0" w:firstLine="0"/>
        <w:jc w:val="both"/>
        <w:rPr>
          <w:rFonts w:hint="eastAsia" w:ascii="仿宋_GB2312" w:hAnsi="仿宋_GB2312" w:eastAsia="仿宋_GB2312" w:cs="仿宋_GB2312"/>
          <w:b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仿宋_GB2312" w:hAnsi="仿宋_GB2312" w:eastAsia="仿宋_GB2312" w:cs="仿宋_GB2312"/>
          <w:b/>
          <w:color w:val="auto"/>
          <w:spacing w:val="0"/>
          <w:position w:val="0"/>
          <w:sz w:val="30"/>
          <w:szCs w:val="30"/>
          <w:shd w:val="clear" w:fill="auto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color w:val="auto"/>
          <w:spacing w:val="0"/>
          <w:position w:val="0"/>
          <w:sz w:val="30"/>
          <w:szCs w:val="30"/>
          <w:shd w:val="clear" w:fill="auto"/>
        </w:rPr>
        <w:t>二、预算执行情况分析。</w:t>
      </w:r>
    </w:p>
    <w:p>
      <w:pPr>
        <w:spacing w:before="0" w:after="0" w:line="560" w:lineRule="auto"/>
        <w:ind w:left="0" w:right="0" w:firstLine="0"/>
        <w:jc w:val="both"/>
        <w:rPr>
          <w:rFonts w:hint="eastAsia" w:ascii="仿宋_GB2312" w:hAnsi="仿宋_GB2312" w:eastAsia="仿宋_GB2312" w:cs="仿宋_GB2312"/>
          <w:b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仿宋_GB2312" w:hAnsi="仿宋_GB2312" w:eastAsia="仿宋_GB2312" w:cs="仿宋_GB2312"/>
          <w:b/>
          <w:color w:val="auto"/>
          <w:spacing w:val="0"/>
          <w:position w:val="0"/>
          <w:sz w:val="30"/>
          <w:szCs w:val="30"/>
          <w:shd w:val="clear" w:fill="auto"/>
        </w:rPr>
        <w:t xml:space="preserve">    1、收入支出决算总说明</w:t>
      </w:r>
    </w:p>
    <w:p>
      <w:pPr>
        <w:spacing w:before="0" w:after="0" w:line="240" w:lineRule="auto"/>
        <w:ind w:left="0" w:right="0" w:firstLine="0"/>
        <w:jc w:val="left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 xml:space="preserve">    本单位本年度一般预算财政拨款收入总计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>82.41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万元，支出总计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>81.34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万元。与2014年度相比，收、支各增加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万元。</w:t>
      </w:r>
    </w:p>
    <w:p>
      <w:pPr>
        <w:spacing w:before="0" w:after="0" w:line="560" w:lineRule="auto"/>
        <w:ind w:left="0" w:right="0" w:firstLine="630"/>
        <w:jc w:val="both"/>
        <w:rPr>
          <w:rFonts w:hint="eastAsia" w:ascii="仿宋_GB2312" w:hAnsi="仿宋_GB2312" w:eastAsia="仿宋_GB2312" w:cs="仿宋_GB2312"/>
          <w:b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仿宋_GB2312" w:hAnsi="仿宋_GB2312" w:eastAsia="仿宋_GB2312" w:cs="仿宋_GB2312"/>
          <w:b/>
          <w:color w:val="auto"/>
          <w:spacing w:val="0"/>
          <w:position w:val="0"/>
          <w:sz w:val="30"/>
          <w:szCs w:val="30"/>
          <w:shd w:val="clear" w:fill="auto"/>
        </w:rPr>
        <w:t>2、支出决算说明</w:t>
      </w:r>
    </w:p>
    <w:p>
      <w:pPr>
        <w:spacing w:before="0" w:after="0" w:line="560" w:lineRule="auto"/>
        <w:ind w:left="0" w:right="0" w:firstLine="630"/>
        <w:jc w:val="both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本单位2015年财政拨款支出决算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>81.34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万元，其中基本支出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  39.99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万元,项目支出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>41.35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万元;其中工资福利支出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>20.02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万元，占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 24.61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%；对个人和家庭的补助支出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>0.10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万元，占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>0.12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%；一般商品和服务支出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>19.87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万元，占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>24.43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%；项目支出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>41.35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万元，占50.84%。</w:t>
      </w:r>
    </w:p>
    <w:p>
      <w:pPr>
        <w:spacing w:before="0" w:after="0" w:line="560" w:lineRule="auto"/>
        <w:ind w:left="0" w:right="0" w:firstLine="630"/>
        <w:jc w:val="both"/>
        <w:rPr>
          <w:rFonts w:hint="eastAsia" w:ascii="仿宋_GB2312" w:hAnsi="仿宋_GB2312" w:eastAsia="仿宋_GB2312" w:cs="仿宋_GB2312"/>
          <w:b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仿宋_GB2312" w:hAnsi="仿宋_GB2312" w:eastAsia="仿宋_GB2312" w:cs="仿宋_GB2312"/>
          <w:b/>
          <w:color w:val="auto"/>
          <w:spacing w:val="0"/>
          <w:position w:val="0"/>
          <w:sz w:val="30"/>
          <w:szCs w:val="30"/>
          <w:shd w:val="clear" w:fill="auto"/>
        </w:rPr>
        <w:t>3、固定资产情况</w:t>
      </w:r>
    </w:p>
    <w:p>
      <w:pPr>
        <w:spacing w:before="0" w:after="0" w:line="560" w:lineRule="auto"/>
        <w:ind w:left="0" w:right="0" w:firstLine="630"/>
        <w:jc w:val="both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本单位年初固定资产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>97.51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万元，年末固定资产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>97.51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万元，本年增减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  <w:lang w:eastAsia="zh-CN"/>
        </w:rPr>
        <w:t>。</w:t>
      </w:r>
    </w:p>
    <w:p>
      <w:pPr>
        <w:spacing w:before="0" w:after="0" w:line="240" w:lineRule="auto"/>
        <w:ind w:left="0" w:right="0" w:firstLine="420"/>
        <w:jc w:val="both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仿宋_GB2312" w:hAnsi="仿宋_GB2312" w:eastAsia="仿宋_GB2312" w:cs="仿宋_GB2312"/>
          <w:b/>
          <w:color w:val="auto"/>
          <w:spacing w:val="0"/>
          <w:position w:val="0"/>
          <w:sz w:val="30"/>
          <w:szCs w:val="30"/>
          <w:shd w:val="clear" w:fill="auto"/>
        </w:rPr>
        <w:t>三、“三公经费”公共预算财政拨款支出基本情况：</w:t>
      </w:r>
    </w:p>
    <w:p>
      <w:pPr>
        <w:spacing w:before="0" w:after="0" w:line="240" w:lineRule="auto"/>
        <w:ind w:left="0" w:right="0" w:firstLine="0"/>
        <w:jc w:val="both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 xml:space="preserve">     本单位2015年度三公经费决算总支出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>4.83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万元，预算安排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 4.83 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万元，完成预算的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%。</w:t>
      </w:r>
    </w:p>
    <w:p>
      <w:pPr>
        <w:spacing w:before="0" w:after="0" w:line="240" w:lineRule="auto"/>
        <w:ind w:left="0" w:right="0" w:firstLine="0"/>
        <w:jc w:val="both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 xml:space="preserve">      1、因公出国（境）费决算支出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>0.00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万元，与2015年支出预算相比无增减变化。说明：没有安排因公出国（境）学习、考察、参观等项目计划。</w:t>
      </w:r>
    </w:p>
    <w:p>
      <w:pPr>
        <w:spacing w:before="0" w:after="0" w:line="240" w:lineRule="auto"/>
        <w:ind w:left="0" w:right="0" w:firstLine="0"/>
        <w:jc w:val="both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 xml:space="preserve">      2、公务用车购置决算支出0.00万元，公务用车运行维护费支出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>3.97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万元，与2015年支出预算相比持平。说明：我单位积极响应中央号召，压缩车辆运行开支。</w:t>
      </w:r>
    </w:p>
    <w:p>
      <w:pPr>
        <w:spacing w:before="0" w:after="0" w:line="240" w:lineRule="auto"/>
        <w:ind w:left="0" w:right="0" w:firstLine="0"/>
        <w:jc w:val="both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 xml:space="preserve">      3、公务接待费决算支出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>0.86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万元，与2015年支出预算相比一样。说明：我部积极响应中央号召，压缩开支。</w:t>
      </w:r>
    </w:p>
    <w:p>
      <w:pPr>
        <w:spacing w:before="0" w:after="0" w:line="240" w:lineRule="auto"/>
        <w:ind w:left="0" w:right="0" w:firstLine="0"/>
        <w:jc w:val="both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 xml:space="preserve">      4、本单位全年因出国（境）累计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>0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次，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0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人；年末公务用车保有量为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>4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辆；外事接待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次，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人。</w:t>
      </w:r>
    </w:p>
    <w:p>
      <w:pPr>
        <w:spacing w:before="0" w:after="0" w:line="240" w:lineRule="auto"/>
        <w:ind w:left="0" w:right="0" w:firstLine="0"/>
        <w:jc w:val="both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 xml:space="preserve"> </w:t>
      </w:r>
      <w:r>
        <w:rPr>
          <w:rFonts w:hint="eastAsia" w:ascii="仿宋_GB2312" w:hAnsi="仿宋_GB2312" w:eastAsia="仿宋_GB2312" w:cs="仿宋_GB2312"/>
          <w:b/>
          <w:color w:val="auto"/>
          <w:spacing w:val="0"/>
          <w:position w:val="0"/>
          <w:sz w:val="30"/>
          <w:szCs w:val="30"/>
          <w:shd w:val="clear" w:fill="auto"/>
        </w:rPr>
        <w:t xml:space="preserve"> 四、机关运行经费支出说明</w:t>
      </w:r>
    </w:p>
    <w:p>
      <w:pPr>
        <w:spacing w:before="0" w:after="0" w:line="580" w:lineRule="auto"/>
        <w:ind w:left="0" w:right="0" w:firstLine="602"/>
        <w:jc w:val="both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 xml:space="preserve">  2015年本单位机关运行经费决算支出为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>39.99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万元，与2014年相比，增加/减少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u w:val="single"/>
          <w:shd w:val="clear" w:fill="auto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万元。主要原因是：积极响应中央号召，压缩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  <w:lang w:eastAsia="zh-CN"/>
        </w:rPr>
        <w:t>运行经费。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机关运行经费支出口径应在专业名词解释中予以说明。</w:t>
      </w:r>
    </w:p>
    <w:p>
      <w:pPr>
        <w:numPr>
          <w:ilvl w:val="0"/>
          <w:numId w:val="2"/>
        </w:numPr>
        <w:spacing w:before="0" w:after="0" w:line="240" w:lineRule="auto"/>
        <w:ind w:left="0" w:right="0" w:firstLine="0"/>
        <w:jc w:val="left"/>
        <w:rPr>
          <w:rFonts w:hint="eastAsia" w:ascii="仿宋_GB2312" w:hAnsi="仿宋_GB2312" w:eastAsia="仿宋_GB2312" w:cs="仿宋_GB2312"/>
          <w:b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仿宋_GB2312" w:hAnsi="仿宋_GB2312" w:eastAsia="仿宋_GB2312" w:cs="仿宋_GB2312"/>
          <w:b/>
          <w:color w:val="auto"/>
          <w:spacing w:val="0"/>
          <w:position w:val="0"/>
          <w:sz w:val="30"/>
          <w:szCs w:val="30"/>
          <w:shd w:val="clear" w:fill="auto"/>
        </w:rPr>
        <w:t xml:space="preserve">政府采购支出说明 </w:t>
      </w:r>
    </w:p>
    <w:p>
      <w:pPr>
        <w:spacing w:before="0" w:after="0" w:line="240" w:lineRule="auto"/>
        <w:ind w:left="0" w:right="0" w:firstLine="0"/>
        <w:jc w:val="left"/>
        <w:rPr>
          <w:rFonts w:hint="eastAsia" w:ascii="仿宋_GB2312" w:hAnsi="仿宋_GB2312" w:eastAsia="仿宋_GB2312" w:cs="仿宋_GB2312"/>
          <w:b/>
          <w:color w:val="auto"/>
          <w:spacing w:val="0"/>
          <w:position w:val="0"/>
          <w:sz w:val="30"/>
          <w:szCs w:val="30"/>
          <w:shd w:val="clear" w:fill="auto"/>
        </w:rPr>
      </w:pPr>
      <w:r>
        <w:rPr>
          <w:rFonts w:hint="eastAsia" w:ascii="仿宋_GB2312" w:hAnsi="仿宋_GB2312" w:eastAsia="仿宋_GB2312" w:cs="仿宋_GB2312"/>
          <w:b/>
          <w:color w:val="auto"/>
          <w:spacing w:val="0"/>
          <w:position w:val="0"/>
          <w:sz w:val="30"/>
          <w:szCs w:val="30"/>
          <w:shd w:val="clear" w:fill="auto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2015年本部门政府采购支出总额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</w:rPr>
        <w:t>万元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0"/>
          <w:szCs w:val="30"/>
          <w:shd w:val="clear" w:fill="auto"/>
          <w:lang w:eastAsia="zh-CN"/>
        </w:rPr>
        <w:t>。</w:t>
      </w:r>
    </w:p>
    <w:sectPr>
      <w:pgSz w:w="11906" w:h="16838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E8184"/>
    <w:multiLevelType w:val="singleLevel"/>
    <w:tmpl w:val="57CE8184"/>
    <w:lvl w:ilvl="0" w:tentative="0">
      <w:start w:val="1"/>
      <w:numFmt w:val="decimal"/>
      <w:lvlText w:val="%1."/>
      <w:lvlJc w:val="left"/>
    </w:lvl>
  </w:abstractNum>
  <w:abstractNum w:abstractNumId="1">
    <w:nsid w:val="57CE818F"/>
    <w:multiLevelType w:val="singleLevel"/>
    <w:tmpl w:val="57CE818F"/>
    <w:lvl w:ilvl="0" w:tentative="0">
      <w:start w:val="1"/>
      <w:numFmt w:val="bullet"/>
      <w:lvlText w:val="•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827FD2"/>
    <w:rsid w:val="441553C2"/>
    <w:rsid w:val="71151C7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2016-09-06T08:31:19Z</dcterms:created>
  <dc:creator>Administrator</dc:creator>
  <cp:lastModifiedBy>Administrator</cp:lastModifiedBy>
  <dcterms:modified xsi:type="dcterms:W3CDTF">2016-09-06T09:10:36Z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