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b/>
          <w:bCs/>
          <w:sz w:val="44"/>
          <w:szCs w:val="44"/>
          <w:lang w:val="en-US" w:eastAsia="zh-CN"/>
        </w:rPr>
      </w:pPr>
      <w:r>
        <w:rPr>
          <w:rFonts w:hint="eastAsia"/>
          <w:b/>
          <w:bCs/>
          <w:sz w:val="44"/>
          <w:szCs w:val="44"/>
          <w:lang w:val="en-US" w:eastAsia="zh-CN"/>
        </w:rPr>
        <w:t>2015年遂溪县人民法院</w:t>
      </w:r>
    </w:p>
    <w:p>
      <w:pPr>
        <w:jc w:val="center"/>
        <w:rPr>
          <w:rFonts w:hint="eastAsia"/>
          <w:b/>
          <w:bCs/>
          <w:sz w:val="44"/>
          <w:szCs w:val="44"/>
          <w:lang w:val="en-US" w:eastAsia="zh-CN"/>
        </w:rPr>
      </w:pPr>
      <w:r>
        <w:rPr>
          <w:rFonts w:hint="eastAsia"/>
          <w:b/>
          <w:bCs/>
          <w:sz w:val="44"/>
          <w:szCs w:val="44"/>
          <w:lang w:val="en-US" w:eastAsia="zh-CN"/>
        </w:rPr>
        <w:t>决算批复说明</w:t>
      </w:r>
    </w:p>
    <w:p>
      <w:pPr>
        <w:jc w:val="center"/>
        <w:rPr>
          <w:rFonts w:hint="eastAsia"/>
          <w:b/>
          <w:bCs/>
          <w:sz w:val="44"/>
          <w:szCs w:val="44"/>
          <w:lang w:val="en-US" w:eastAsia="zh-CN"/>
        </w:rPr>
      </w:pPr>
    </w:p>
    <w:p>
      <w:pPr>
        <w:numPr>
          <w:ilvl w:val="0"/>
          <w:numId w:val="1"/>
        </w:numPr>
        <w:jc w:val="left"/>
        <w:rPr>
          <w:rFonts w:hint="eastAsia"/>
          <w:b/>
          <w:bCs/>
          <w:sz w:val="30"/>
          <w:szCs w:val="30"/>
        </w:rPr>
      </w:pPr>
      <w:r>
        <w:rPr>
          <w:rFonts w:hint="eastAsia"/>
          <w:b/>
          <w:bCs/>
          <w:sz w:val="30"/>
          <w:szCs w:val="30"/>
        </w:rPr>
        <w:t>部门机构设置</w:t>
      </w:r>
      <w:r>
        <w:rPr>
          <w:rFonts w:hint="eastAsia"/>
          <w:b/>
          <w:bCs/>
          <w:sz w:val="30"/>
          <w:szCs w:val="30"/>
          <w:lang w:eastAsia="zh-CN"/>
        </w:rPr>
        <w:t>及主要</w:t>
      </w:r>
      <w:r>
        <w:rPr>
          <w:rFonts w:hint="eastAsia"/>
          <w:b/>
          <w:bCs/>
          <w:sz w:val="30"/>
          <w:szCs w:val="30"/>
        </w:rPr>
        <w:t>职</w:t>
      </w:r>
      <w:r>
        <w:rPr>
          <w:rFonts w:hint="eastAsia"/>
          <w:b/>
          <w:bCs/>
          <w:sz w:val="30"/>
          <w:szCs w:val="30"/>
          <w:lang w:eastAsia="zh-CN"/>
        </w:rPr>
        <w:t>能</w:t>
      </w:r>
    </w:p>
    <w:p>
      <w:pPr>
        <w:widowControl/>
        <w:shd w:val="clear" w:color="auto" w:fill="FFFFFF"/>
        <w:wordWrap w:val="0"/>
        <w:spacing w:line="315" w:lineRule="atLeast"/>
        <w:jc w:val="left"/>
        <w:rPr>
          <w:rFonts w:hint="eastAsia"/>
          <w:color w:val="000000"/>
          <w:kern w:val="0"/>
        </w:rPr>
      </w:pPr>
      <w:r>
        <w:rPr>
          <w:rFonts w:hint="eastAsia"/>
          <w:b/>
          <w:bCs/>
          <w:sz w:val="30"/>
          <w:szCs w:val="30"/>
          <w:lang w:val="en-US" w:eastAsia="zh-CN"/>
        </w:rPr>
        <w:t xml:space="preserve">    </w:t>
      </w:r>
      <w:r>
        <w:rPr>
          <w:rFonts w:hint="eastAsia" w:ascii="仿宋_GB2312" w:hAnsi="宋体" w:eastAsia="仿宋_GB2312"/>
          <w:color w:val="000000"/>
          <w:kern w:val="0"/>
          <w:sz w:val="28"/>
        </w:rPr>
        <w:t>遂溪县人民法院设置17个机构（政工科、纪检监察室、办公室、机关服务中心、刑庭、民一庭、民二庭、行政庭、审判监督庭、立案庭、执行一庭、执行二庭、执行综合办公室、法警大队、城月法庭、杨柑法庭、北坡法庭）。主要职能是：审判法律规定和上级法院指定管辖依法应当由本院审判的刑事、民事、经济、行政等第一审案件；执行本院法律文书已发生法律效力的案件和上级法院指定执行的案件以及外地法院委托执行的案件、受理非诉讼执行案件；审查处理不服本院已发生法律效力的申诉和申请再审案件、上级法院指令再审的案件；依法审查和处理由人民检察院按照审判监督程序提出的不服一审判决的抗诉案件；依法行使司法执行权和司法决定权；承办其他应由县人民法院负责的工作。</w:t>
      </w:r>
    </w:p>
    <w:p>
      <w:pPr>
        <w:numPr>
          <w:numId w:val="0"/>
        </w:numPr>
        <w:rPr>
          <w:rFonts w:hint="eastAsia"/>
          <w:sz w:val="32"/>
          <w:szCs w:val="32"/>
          <w:lang w:val="en-US" w:eastAsia="zh-CN"/>
        </w:rPr>
      </w:pPr>
      <w:r>
        <w:rPr>
          <w:rFonts w:hint="eastAsia" w:ascii="仿宋_GB2312" w:hAnsi="宋体" w:eastAsia="仿宋_GB2312"/>
          <w:color w:val="000000"/>
          <w:kern w:val="0"/>
          <w:sz w:val="28"/>
          <w:lang w:val="en-US" w:eastAsia="zh-CN"/>
        </w:rPr>
        <w:t xml:space="preserve">    </w:t>
      </w:r>
      <w:r>
        <w:rPr>
          <w:rFonts w:hint="eastAsia" w:ascii="仿宋_GB2312" w:hAnsi="宋体" w:eastAsia="仿宋_GB2312"/>
          <w:color w:val="000000"/>
          <w:kern w:val="0"/>
          <w:sz w:val="28"/>
        </w:rPr>
        <w:t>遂溪县人民法院共有行政编制109名，工勤编制22名，机关事业编制7名。</w:t>
      </w:r>
      <w:r>
        <w:rPr>
          <w:rFonts w:hint="eastAsia" w:ascii="仿宋_GB2312" w:hAnsi="宋体" w:eastAsia="仿宋_GB2312"/>
          <w:color w:val="000000"/>
          <w:kern w:val="0"/>
          <w:sz w:val="28"/>
          <w:lang w:eastAsia="zh-CN"/>
        </w:rPr>
        <w:t>年末实有</w:t>
      </w:r>
      <w:r>
        <w:rPr>
          <w:rFonts w:hint="eastAsia" w:ascii="仿宋_GB2312" w:hAnsi="宋体" w:eastAsia="仿宋_GB2312"/>
          <w:color w:val="000000"/>
          <w:kern w:val="0"/>
          <w:sz w:val="28"/>
        </w:rPr>
        <w:t>机关财政供养人数为153人，其中：在职108人，离休1人，退休44人，遗属供养8人。</w:t>
      </w:r>
      <w:r>
        <w:rPr>
          <w:rFonts w:hint="eastAsia" w:ascii="仿宋_GB2312" w:eastAsia="仿宋_GB2312"/>
          <w:sz w:val="32"/>
          <w:szCs w:val="32"/>
        </w:rPr>
        <w:t>独立编制机构数</w:t>
      </w:r>
      <w:r>
        <w:rPr>
          <w:rFonts w:hint="eastAsia" w:ascii="仿宋_GB2312" w:eastAsia="仿宋_GB2312"/>
          <w:sz w:val="32"/>
          <w:szCs w:val="32"/>
          <w:lang w:val="en-US" w:eastAsia="zh-CN"/>
        </w:rPr>
        <w:t>1</w:t>
      </w:r>
      <w:r>
        <w:rPr>
          <w:rFonts w:hint="eastAsia" w:ascii="仿宋_GB2312" w:eastAsia="仿宋_GB2312"/>
          <w:sz w:val="32"/>
          <w:szCs w:val="32"/>
        </w:rPr>
        <w:t>个，独立核算机构数</w:t>
      </w:r>
      <w:r>
        <w:rPr>
          <w:rFonts w:hint="eastAsia" w:ascii="仿宋_GB2312" w:eastAsia="仿宋_GB2312"/>
          <w:sz w:val="32"/>
          <w:szCs w:val="32"/>
          <w:lang w:val="en-US" w:eastAsia="zh-CN"/>
        </w:rPr>
        <w:t>1</w:t>
      </w:r>
      <w:r>
        <w:rPr>
          <w:rFonts w:hint="eastAsia" w:ascii="仿宋_GB2312" w:eastAsia="仿宋_GB2312"/>
          <w:sz w:val="32"/>
          <w:szCs w:val="32"/>
        </w:rPr>
        <w:t>个</w:t>
      </w:r>
      <w:r>
        <w:rPr>
          <w:rFonts w:hint="eastAsia" w:ascii="仿宋_GB2312" w:eastAsia="仿宋_GB2312"/>
          <w:sz w:val="32"/>
          <w:szCs w:val="32"/>
          <w:lang w:eastAsia="zh-CN"/>
        </w:rPr>
        <w:t>。</w:t>
      </w:r>
    </w:p>
    <w:p>
      <w:pPr>
        <w:widowControl/>
        <w:shd w:val="clear" w:color="auto" w:fill="FFFFFF"/>
        <w:wordWrap w:val="0"/>
        <w:spacing w:line="315" w:lineRule="atLeast"/>
        <w:jc w:val="left"/>
        <w:rPr>
          <w:rFonts w:hint="eastAsia"/>
          <w:color w:val="000000"/>
          <w:kern w:val="0"/>
        </w:rPr>
      </w:pPr>
    </w:p>
    <w:p>
      <w:pPr>
        <w:numPr>
          <w:numId w:val="0"/>
        </w:numPr>
        <w:spacing w:line="600" w:lineRule="exact"/>
        <w:rPr>
          <w:rFonts w:hint="eastAsia" w:ascii="仿宋_GB2312"/>
          <w:b/>
          <w:sz w:val="30"/>
          <w:szCs w:val="30"/>
          <w:lang w:eastAsia="zh-CN"/>
        </w:rPr>
      </w:pPr>
      <w:r>
        <w:rPr>
          <w:rFonts w:hint="eastAsia" w:ascii="仿宋_GB2312"/>
          <w:b/>
          <w:sz w:val="30"/>
          <w:szCs w:val="30"/>
          <w:lang w:eastAsia="zh-CN"/>
        </w:rPr>
        <w:t>二、</w:t>
      </w:r>
      <w:r>
        <w:rPr>
          <w:rFonts w:hint="eastAsia" w:ascii="仿宋_GB2312"/>
          <w:b/>
          <w:sz w:val="30"/>
          <w:szCs w:val="30"/>
        </w:rPr>
        <w:t>预算执行情况分析</w:t>
      </w:r>
      <w:r>
        <w:rPr>
          <w:rFonts w:hint="eastAsia" w:ascii="仿宋_GB2312"/>
          <w:b/>
          <w:sz w:val="30"/>
          <w:szCs w:val="30"/>
          <w:lang w:eastAsia="zh-CN"/>
        </w:rPr>
        <w:t>。</w:t>
      </w:r>
    </w:p>
    <w:p>
      <w:pPr>
        <w:spacing w:line="560" w:lineRule="exact"/>
        <w:rPr>
          <w:rFonts w:hint="eastAsia" w:ascii="仿宋_GB2312" w:eastAsia="仿宋_GB2312"/>
          <w:b/>
          <w:sz w:val="28"/>
          <w:szCs w:val="28"/>
        </w:rPr>
      </w:pPr>
      <w:r>
        <w:rPr>
          <w:rFonts w:hint="eastAsia" w:ascii="仿宋_GB2312"/>
          <w:b/>
          <w:sz w:val="30"/>
          <w:szCs w:val="30"/>
          <w:lang w:val="en-US" w:eastAsia="zh-CN"/>
        </w:rPr>
        <w:t xml:space="preserve">    1、</w:t>
      </w:r>
      <w:r>
        <w:rPr>
          <w:rFonts w:hint="eastAsia" w:ascii="仿宋_GB2312" w:eastAsia="仿宋_GB2312"/>
          <w:b/>
          <w:sz w:val="28"/>
          <w:szCs w:val="28"/>
        </w:rPr>
        <w:t>收入</w:t>
      </w:r>
      <w:r>
        <w:rPr>
          <w:rFonts w:hint="eastAsia" w:ascii="仿宋_GB2312" w:eastAsia="仿宋_GB2312"/>
          <w:b/>
          <w:sz w:val="28"/>
          <w:szCs w:val="28"/>
          <w:lang w:eastAsia="zh-CN"/>
        </w:rPr>
        <w:t>支出</w:t>
      </w:r>
      <w:r>
        <w:rPr>
          <w:rFonts w:hint="eastAsia" w:ascii="仿宋_GB2312" w:eastAsia="仿宋_GB2312"/>
          <w:b/>
          <w:sz w:val="28"/>
          <w:szCs w:val="28"/>
        </w:rPr>
        <w:t>决算</w:t>
      </w:r>
      <w:r>
        <w:rPr>
          <w:rFonts w:hint="eastAsia" w:ascii="仿宋_GB2312" w:eastAsia="仿宋_GB2312"/>
          <w:b/>
          <w:sz w:val="28"/>
          <w:szCs w:val="28"/>
          <w:lang w:eastAsia="zh-CN"/>
        </w:rPr>
        <w:t>总</w:t>
      </w:r>
      <w:r>
        <w:rPr>
          <w:rFonts w:hint="eastAsia" w:ascii="仿宋_GB2312" w:eastAsia="仿宋_GB2312"/>
          <w:b/>
          <w:sz w:val="28"/>
          <w:szCs w:val="28"/>
        </w:rPr>
        <w:t>说明</w:t>
      </w:r>
    </w:p>
    <w:p>
      <w:pPr>
        <w:numPr>
          <w:numId w:val="0"/>
        </w:numPr>
        <w:jc w:val="left"/>
        <w:rPr>
          <w:rFonts w:hint="eastAsia"/>
          <w:sz w:val="28"/>
          <w:szCs w:val="28"/>
          <w:lang w:val="en-US" w:eastAsia="zh-CN"/>
        </w:rPr>
      </w:pPr>
      <w:r>
        <w:rPr>
          <w:rFonts w:hint="eastAsia" w:ascii="仿宋_GB2312" w:hAnsi="宋体" w:eastAsia="仿宋_GB2312"/>
          <w:sz w:val="30"/>
          <w:szCs w:val="30"/>
          <w:lang w:val="en-US" w:eastAsia="zh-CN"/>
        </w:rPr>
        <w:t xml:space="preserve">    </w:t>
      </w:r>
      <w:r>
        <w:rPr>
          <w:rFonts w:hint="eastAsia" w:ascii="仿宋_GB2312" w:hAnsi="宋体" w:eastAsia="仿宋_GB2312"/>
          <w:sz w:val="28"/>
          <w:szCs w:val="28"/>
          <w:lang w:eastAsia="zh-CN"/>
        </w:rPr>
        <w:t>本</w:t>
      </w:r>
      <w:r>
        <w:rPr>
          <w:rFonts w:hint="eastAsia" w:ascii="仿宋_GB2312" w:hAnsi="宋体" w:eastAsia="仿宋_GB2312"/>
          <w:sz w:val="28"/>
          <w:szCs w:val="28"/>
        </w:rPr>
        <w:t>单位本年度一般预算财政拨款收入</w:t>
      </w:r>
      <w:r>
        <w:rPr>
          <w:rFonts w:hint="eastAsia" w:ascii="仿宋_GB2312" w:hAnsi="宋体" w:eastAsia="仿宋_GB2312"/>
          <w:sz w:val="28"/>
          <w:szCs w:val="28"/>
          <w:lang w:eastAsia="zh-CN"/>
        </w:rPr>
        <w:t>总计</w:t>
      </w:r>
      <w:r>
        <w:rPr>
          <w:rFonts w:hint="eastAsia" w:ascii="仿宋_GB2312" w:hAnsi="宋体" w:eastAsia="仿宋_GB2312"/>
          <w:sz w:val="28"/>
          <w:szCs w:val="28"/>
          <w:lang w:val="en-US" w:eastAsia="zh-CN"/>
        </w:rPr>
        <w:t>3074.17万</w:t>
      </w:r>
      <w:r>
        <w:rPr>
          <w:rFonts w:hint="eastAsia" w:ascii="仿宋_GB2312" w:hAnsi="宋体" w:eastAsia="仿宋_GB2312"/>
          <w:sz w:val="28"/>
          <w:szCs w:val="28"/>
        </w:rPr>
        <w:t>元</w:t>
      </w:r>
      <w:r>
        <w:rPr>
          <w:rFonts w:hint="eastAsia" w:ascii="仿宋_GB2312" w:hAnsi="宋体" w:eastAsia="仿宋_GB2312"/>
          <w:sz w:val="28"/>
          <w:szCs w:val="28"/>
          <w:lang w:eastAsia="zh-CN"/>
        </w:rPr>
        <w:t>，支出总计</w:t>
      </w:r>
      <w:r>
        <w:rPr>
          <w:rFonts w:hint="eastAsia" w:ascii="仿宋_GB2312" w:hAnsi="宋体" w:eastAsia="仿宋_GB2312"/>
          <w:sz w:val="28"/>
          <w:szCs w:val="28"/>
          <w:u w:val="none" w:color="auto"/>
          <w:lang w:val="en-US" w:eastAsia="zh-CN"/>
        </w:rPr>
        <w:t>3074.17</w:t>
      </w:r>
      <w:r>
        <w:rPr>
          <w:rFonts w:hint="eastAsia" w:ascii="仿宋_GB2312" w:hAnsi="宋体" w:eastAsia="仿宋_GB2312"/>
          <w:sz w:val="28"/>
          <w:szCs w:val="28"/>
          <w:lang w:val="en-US" w:eastAsia="zh-CN"/>
        </w:rPr>
        <w:t xml:space="preserve"> 万元。与2014年度相比，收、支各增加815.85万元。主要原因为两方面：一方面工资的增资调动使得决算数据有所上涨；另一方面则是国家及省财政对基层法院系统转移支付保障力度有所大幅增加。</w:t>
      </w:r>
    </w:p>
    <w:p>
      <w:pPr>
        <w:spacing w:line="560" w:lineRule="exact"/>
        <w:ind w:firstLine="630"/>
        <w:rPr>
          <w:rFonts w:hint="eastAsia" w:ascii="仿宋_GB2312" w:eastAsia="仿宋_GB2312"/>
          <w:b/>
          <w:sz w:val="28"/>
          <w:szCs w:val="28"/>
        </w:rPr>
      </w:pPr>
      <w:r>
        <w:rPr>
          <w:rFonts w:hint="eastAsia" w:ascii="仿宋_GB2312" w:eastAsia="仿宋_GB2312"/>
          <w:b/>
          <w:sz w:val="28"/>
          <w:szCs w:val="28"/>
          <w:lang w:val="en-US" w:eastAsia="zh-CN"/>
        </w:rPr>
        <w:t>2、</w:t>
      </w:r>
      <w:r>
        <w:rPr>
          <w:rFonts w:hint="eastAsia" w:ascii="仿宋_GB2312" w:eastAsia="仿宋_GB2312"/>
          <w:b/>
          <w:sz w:val="28"/>
          <w:szCs w:val="28"/>
        </w:rPr>
        <w:t>支出决算说明</w:t>
      </w:r>
    </w:p>
    <w:p>
      <w:pPr>
        <w:spacing w:line="560" w:lineRule="exact"/>
        <w:ind w:firstLine="63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本单位</w:t>
      </w:r>
      <w:r>
        <w:rPr>
          <w:rFonts w:hint="eastAsia" w:ascii="仿宋_GB2312" w:hAnsi="仿宋_GB2312" w:eastAsia="仿宋_GB2312" w:cs="仿宋_GB2312"/>
          <w:sz w:val="28"/>
          <w:szCs w:val="28"/>
        </w:rPr>
        <w:t>201</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年财政拨款支出决算</w:t>
      </w:r>
      <w:r>
        <w:rPr>
          <w:rFonts w:hint="eastAsia" w:ascii="仿宋_GB2312" w:hAnsi="仿宋_GB2312" w:eastAsia="仿宋_GB2312" w:cs="仿宋_GB2312"/>
          <w:sz w:val="28"/>
          <w:szCs w:val="28"/>
          <w:u w:val="none" w:color="auto"/>
          <w:lang w:val="en-US" w:eastAsia="zh-CN"/>
        </w:rPr>
        <w:t>3074.17</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万元，其中基本支出</w:t>
      </w:r>
      <w:r>
        <w:rPr>
          <w:rFonts w:hint="eastAsia" w:ascii="仿宋_GB2312" w:hAnsi="仿宋_GB2312" w:eastAsia="仿宋_GB2312" w:cs="仿宋_GB2312"/>
          <w:color w:val="000000"/>
          <w:sz w:val="28"/>
          <w:szCs w:val="28"/>
        </w:rPr>
        <w:t>1,462.17</w:t>
      </w:r>
      <w:r>
        <w:rPr>
          <w:rFonts w:hint="eastAsia" w:ascii="仿宋_GB2312" w:hAnsi="仿宋_GB2312" w:eastAsia="仿宋_GB2312" w:cs="仿宋_GB2312"/>
          <w:sz w:val="28"/>
          <w:szCs w:val="28"/>
        </w:rPr>
        <w:t>万元,项目支出</w:t>
      </w:r>
      <w:r>
        <w:rPr>
          <w:rFonts w:hint="eastAsia" w:ascii="仿宋_GB2312" w:hAnsi="仿宋_GB2312" w:eastAsia="仿宋_GB2312" w:cs="仿宋_GB2312"/>
          <w:color w:val="000000"/>
          <w:sz w:val="28"/>
          <w:szCs w:val="28"/>
        </w:rPr>
        <w:t>1,612.00</w:t>
      </w:r>
      <w:r>
        <w:rPr>
          <w:rFonts w:hint="eastAsia" w:ascii="仿宋_GB2312" w:hAnsi="仿宋_GB2312" w:eastAsia="仿宋_GB2312" w:cs="仿宋_GB2312"/>
          <w:sz w:val="28"/>
          <w:szCs w:val="28"/>
        </w:rPr>
        <w:t>万元;其中工资福利支出</w:t>
      </w:r>
      <w:r>
        <w:rPr>
          <w:rFonts w:hint="eastAsia" w:ascii="仿宋_GB2312" w:hAnsi="仿宋_GB2312" w:eastAsia="仿宋_GB2312" w:cs="仿宋_GB2312"/>
          <w:color w:val="000000"/>
          <w:sz w:val="28"/>
          <w:szCs w:val="28"/>
        </w:rPr>
        <w:t>666.23</w:t>
      </w:r>
      <w:r>
        <w:rPr>
          <w:rFonts w:hint="eastAsia" w:ascii="仿宋_GB2312" w:hAnsi="仿宋_GB2312" w:eastAsia="仿宋_GB2312" w:cs="仿宋_GB2312"/>
          <w:sz w:val="28"/>
          <w:szCs w:val="28"/>
        </w:rPr>
        <w:t>万元，占</w:t>
      </w:r>
      <w:r>
        <w:rPr>
          <w:rFonts w:hint="eastAsia" w:ascii="仿宋_GB2312" w:hAnsi="仿宋_GB2312" w:eastAsia="仿宋_GB2312" w:cs="仿宋_GB2312"/>
          <w:sz w:val="28"/>
          <w:szCs w:val="28"/>
          <w:lang w:val="en-US" w:eastAsia="zh-CN"/>
        </w:rPr>
        <w:t>21.67</w:t>
      </w:r>
      <w:r>
        <w:rPr>
          <w:rFonts w:hint="eastAsia" w:ascii="仿宋_GB2312" w:hAnsi="仿宋_GB2312" w:eastAsia="仿宋_GB2312" w:cs="仿宋_GB2312"/>
          <w:sz w:val="28"/>
          <w:szCs w:val="28"/>
        </w:rPr>
        <w:t>%；对个人和家庭的补助支出</w:t>
      </w:r>
      <w:r>
        <w:rPr>
          <w:rFonts w:hint="eastAsia" w:ascii="仿宋_GB2312" w:hAnsi="仿宋_GB2312" w:eastAsia="仿宋_GB2312" w:cs="仿宋_GB2312"/>
          <w:color w:val="000000"/>
          <w:sz w:val="28"/>
          <w:szCs w:val="28"/>
        </w:rPr>
        <w:t>299.46</w:t>
      </w:r>
      <w:r>
        <w:rPr>
          <w:rFonts w:hint="eastAsia" w:ascii="仿宋_GB2312" w:hAnsi="仿宋_GB2312" w:eastAsia="仿宋_GB2312" w:cs="仿宋_GB2312"/>
          <w:sz w:val="28"/>
          <w:szCs w:val="28"/>
        </w:rPr>
        <w:t>万元，</w:t>
      </w:r>
      <w:bookmarkStart w:id="0" w:name="OLE_LINK1"/>
      <w:r>
        <w:rPr>
          <w:rFonts w:hint="eastAsia" w:ascii="仿宋_GB2312" w:hAnsi="仿宋_GB2312" w:eastAsia="仿宋_GB2312" w:cs="仿宋_GB2312"/>
          <w:sz w:val="28"/>
          <w:szCs w:val="28"/>
        </w:rPr>
        <w:t>占</w:t>
      </w:r>
      <w:r>
        <w:rPr>
          <w:rFonts w:hint="eastAsia" w:ascii="仿宋_GB2312" w:hAnsi="仿宋_GB2312" w:eastAsia="仿宋_GB2312" w:cs="仿宋_GB2312"/>
          <w:sz w:val="28"/>
          <w:szCs w:val="28"/>
          <w:lang w:val="en-US" w:eastAsia="zh-CN"/>
        </w:rPr>
        <w:t>9.74</w:t>
      </w:r>
      <w:r>
        <w:rPr>
          <w:rFonts w:hint="eastAsia" w:ascii="仿宋_GB2312" w:hAnsi="仿宋_GB2312" w:eastAsia="仿宋_GB2312" w:cs="仿宋_GB2312"/>
          <w:sz w:val="28"/>
          <w:szCs w:val="28"/>
        </w:rPr>
        <w:t>%；</w:t>
      </w:r>
      <w:bookmarkEnd w:id="0"/>
      <w:r>
        <w:rPr>
          <w:rFonts w:hint="eastAsia" w:ascii="仿宋_GB2312" w:hAnsi="仿宋_GB2312" w:eastAsia="仿宋_GB2312" w:cs="仿宋_GB2312"/>
          <w:sz w:val="28"/>
          <w:szCs w:val="28"/>
        </w:rPr>
        <w:t>一般商品和服务支出</w:t>
      </w:r>
      <w:r>
        <w:rPr>
          <w:rFonts w:hint="eastAsia" w:ascii="仿宋_GB2312" w:hAnsi="仿宋_GB2312" w:eastAsia="仿宋_GB2312" w:cs="仿宋_GB2312"/>
          <w:sz w:val="28"/>
          <w:szCs w:val="28"/>
          <w:lang w:val="en-US" w:eastAsia="zh-CN"/>
        </w:rPr>
        <w:t>496.48</w:t>
      </w:r>
      <w:r>
        <w:rPr>
          <w:rFonts w:hint="eastAsia" w:ascii="仿宋_GB2312" w:hAnsi="仿宋_GB2312" w:eastAsia="仿宋_GB2312" w:cs="仿宋_GB2312"/>
          <w:sz w:val="28"/>
          <w:szCs w:val="28"/>
        </w:rPr>
        <w:t>万元，占</w:t>
      </w:r>
      <w:r>
        <w:rPr>
          <w:rFonts w:hint="eastAsia" w:ascii="仿宋_GB2312" w:hAnsi="仿宋_GB2312" w:eastAsia="仿宋_GB2312" w:cs="仿宋_GB2312"/>
          <w:sz w:val="28"/>
          <w:szCs w:val="28"/>
          <w:lang w:val="en-US" w:eastAsia="zh-CN"/>
        </w:rPr>
        <w:t>16.15</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；项目支出</w:t>
      </w:r>
      <w:r>
        <w:rPr>
          <w:rFonts w:hint="eastAsia" w:ascii="仿宋_GB2312" w:hAnsi="仿宋_GB2312" w:eastAsia="仿宋_GB2312" w:cs="仿宋_GB2312"/>
          <w:sz w:val="28"/>
          <w:szCs w:val="28"/>
        </w:rPr>
        <w:t>1612</w:t>
      </w:r>
      <w:r>
        <w:rPr>
          <w:rFonts w:hint="eastAsia" w:ascii="仿宋_GB2312" w:hAnsi="仿宋_GB2312" w:eastAsia="仿宋_GB2312" w:cs="仿宋_GB2312"/>
          <w:sz w:val="28"/>
          <w:szCs w:val="28"/>
          <w:lang w:val="en-US" w:eastAsia="zh-CN"/>
        </w:rPr>
        <w:t>万元，</w:t>
      </w:r>
      <w:r>
        <w:rPr>
          <w:rFonts w:hint="eastAsia" w:ascii="仿宋_GB2312" w:hAnsi="仿宋_GB2312" w:eastAsia="仿宋_GB2312" w:cs="仿宋_GB2312"/>
          <w:sz w:val="28"/>
          <w:szCs w:val="28"/>
        </w:rPr>
        <w:t>占</w:t>
      </w:r>
      <w:bookmarkStart w:id="1" w:name="OLE_LINK4"/>
      <w:r>
        <w:rPr>
          <w:rFonts w:hint="eastAsia" w:ascii="仿宋_GB2312" w:hAnsi="仿宋_GB2312" w:eastAsia="仿宋_GB2312" w:cs="仿宋_GB2312"/>
          <w:sz w:val="28"/>
          <w:szCs w:val="28"/>
          <w:lang w:val="en-US" w:eastAsia="zh-CN"/>
        </w:rPr>
        <w:t>52.44</w:t>
      </w:r>
      <w:r>
        <w:rPr>
          <w:rFonts w:hint="eastAsia" w:ascii="仿宋_GB2312" w:hAnsi="仿宋_GB2312" w:eastAsia="仿宋_GB2312" w:cs="仿宋_GB2312"/>
          <w:sz w:val="28"/>
          <w:szCs w:val="28"/>
        </w:rPr>
        <w:t>%</w:t>
      </w:r>
      <w:bookmarkEnd w:id="1"/>
      <w:r>
        <w:rPr>
          <w:rFonts w:hint="eastAsia" w:ascii="仿宋_GB2312" w:hAnsi="仿宋_GB2312" w:eastAsia="仿宋_GB2312" w:cs="仿宋_GB2312"/>
          <w:sz w:val="28"/>
          <w:szCs w:val="28"/>
          <w:lang w:eastAsia="zh-CN"/>
        </w:rPr>
        <w:t>。</w:t>
      </w:r>
    </w:p>
    <w:p>
      <w:pPr>
        <w:spacing w:line="560" w:lineRule="exact"/>
        <w:ind w:firstLine="630"/>
        <w:rPr>
          <w:rFonts w:hint="eastAsia" w:ascii="仿宋_GB2312" w:eastAsia="仿宋_GB2312"/>
          <w:b/>
          <w:sz w:val="28"/>
          <w:szCs w:val="28"/>
        </w:rPr>
      </w:pPr>
      <w:r>
        <w:rPr>
          <w:rFonts w:hint="eastAsia" w:ascii="仿宋_GB2312" w:eastAsia="仿宋_GB2312"/>
          <w:b/>
          <w:sz w:val="28"/>
          <w:szCs w:val="28"/>
          <w:lang w:val="en-US" w:eastAsia="zh-CN"/>
        </w:rPr>
        <w:t>3</w:t>
      </w:r>
      <w:r>
        <w:rPr>
          <w:rFonts w:hint="eastAsia" w:ascii="仿宋_GB2312" w:eastAsia="仿宋_GB2312"/>
          <w:b/>
          <w:sz w:val="28"/>
          <w:szCs w:val="28"/>
        </w:rPr>
        <w:t>、固定资产情况</w:t>
      </w:r>
    </w:p>
    <w:p>
      <w:pPr>
        <w:spacing w:line="560" w:lineRule="exact"/>
        <w:ind w:firstLine="630"/>
        <w:rPr>
          <w:rFonts w:hint="eastAsia"/>
          <w:sz w:val="28"/>
          <w:szCs w:val="28"/>
          <w:lang w:val="en-US" w:eastAsia="zh-CN"/>
        </w:rPr>
      </w:pPr>
      <w:r>
        <w:rPr>
          <w:rFonts w:hint="eastAsia" w:ascii="仿宋_GB2312" w:eastAsia="仿宋_GB2312"/>
          <w:sz w:val="28"/>
          <w:szCs w:val="28"/>
          <w:lang w:eastAsia="zh-CN"/>
        </w:rPr>
        <w:t>本单位</w:t>
      </w:r>
      <w:r>
        <w:rPr>
          <w:rFonts w:hint="eastAsia" w:ascii="仿宋_GB2312" w:eastAsia="仿宋_GB2312"/>
          <w:sz w:val="28"/>
          <w:szCs w:val="28"/>
        </w:rPr>
        <w:t>年初固定资产</w:t>
      </w:r>
      <w:r>
        <w:rPr>
          <w:rFonts w:hint="eastAsia" w:ascii="仿宋_GB2312" w:eastAsia="仿宋_GB2312"/>
          <w:sz w:val="28"/>
          <w:szCs w:val="28"/>
          <w:lang w:val="en-US" w:eastAsia="zh-CN"/>
        </w:rPr>
        <w:t>4280.06</w:t>
      </w:r>
      <w:r>
        <w:rPr>
          <w:rFonts w:hint="eastAsia" w:ascii="仿宋_GB2312" w:eastAsia="仿宋_GB2312"/>
          <w:sz w:val="28"/>
          <w:szCs w:val="28"/>
        </w:rPr>
        <w:t>万元，年末固定资产</w:t>
      </w:r>
      <w:r>
        <w:rPr>
          <w:rFonts w:hint="eastAsia" w:ascii="仿宋_GB2312" w:eastAsia="仿宋_GB2312"/>
          <w:sz w:val="28"/>
          <w:szCs w:val="28"/>
          <w:lang w:val="en-US" w:eastAsia="zh-CN"/>
        </w:rPr>
        <w:t>5006.28</w:t>
      </w:r>
      <w:r>
        <w:rPr>
          <w:rFonts w:hint="eastAsia" w:ascii="仿宋_GB2312" w:eastAsia="仿宋_GB2312"/>
          <w:sz w:val="28"/>
          <w:szCs w:val="28"/>
        </w:rPr>
        <w:t>万元，本年增</w:t>
      </w:r>
      <w:r>
        <w:rPr>
          <w:rFonts w:hint="eastAsia" w:ascii="仿宋_GB2312" w:eastAsia="仿宋_GB2312"/>
          <w:sz w:val="28"/>
          <w:szCs w:val="28"/>
          <w:lang w:eastAsia="zh-CN"/>
        </w:rPr>
        <w:t>加</w:t>
      </w:r>
      <w:r>
        <w:rPr>
          <w:rFonts w:hint="eastAsia" w:ascii="仿宋_GB2312" w:eastAsia="仿宋_GB2312"/>
          <w:sz w:val="28"/>
          <w:szCs w:val="28"/>
          <w:lang w:val="en-US" w:eastAsia="zh-CN"/>
        </w:rPr>
        <w:t>726.22万元，主要原因是审判庭综合楼通过工程结算计算入固定资产。</w:t>
      </w:r>
    </w:p>
    <w:p>
      <w:pPr>
        <w:ind w:firstLine="420" w:firstLineChars="150"/>
        <w:rPr>
          <w:rFonts w:hint="eastAsia"/>
          <w:sz w:val="28"/>
          <w:szCs w:val="28"/>
        </w:rPr>
      </w:pPr>
      <w:r>
        <w:rPr>
          <w:rFonts w:hint="eastAsia"/>
          <w:b/>
          <w:bCs/>
          <w:sz w:val="28"/>
          <w:szCs w:val="28"/>
          <w:lang w:eastAsia="zh-CN"/>
        </w:rPr>
        <w:t>三、</w:t>
      </w:r>
      <w:r>
        <w:rPr>
          <w:rFonts w:hint="eastAsia"/>
          <w:b/>
          <w:bCs/>
          <w:sz w:val="28"/>
          <w:szCs w:val="28"/>
        </w:rPr>
        <w:t>“三公经费”公共预算财政拨款支出基本情况：</w:t>
      </w:r>
    </w:p>
    <w:p>
      <w:pPr>
        <w:rPr>
          <w:rFonts w:hint="eastAsia" w:ascii="仿宋_GB2312" w:hAnsi="仿宋_GB2312" w:eastAsia="仿宋_GB2312" w:cs="仿宋_GB2312"/>
          <w:sz w:val="28"/>
          <w:szCs w:val="28"/>
        </w:rPr>
      </w:pPr>
      <w:r>
        <w:rPr>
          <w:rFonts w:hint="eastAsia" w:ascii="仿宋_GB2312" w:hAnsi="宋体" w:eastAsia="仿宋_GB2312" w:cs="宋体"/>
          <w:sz w:val="32"/>
          <w:szCs w:val="32"/>
          <w:lang w:val="en-US" w:eastAsia="zh-CN"/>
        </w:rPr>
        <w:t xml:space="preserve">     </w:t>
      </w:r>
      <w:r>
        <w:rPr>
          <w:rFonts w:hint="eastAsia" w:ascii="仿宋_GB2312" w:hAnsi="宋体" w:eastAsia="仿宋_GB2312" w:cs="宋体"/>
          <w:sz w:val="28"/>
          <w:szCs w:val="28"/>
          <w:lang w:val="en-US" w:eastAsia="zh-CN"/>
        </w:rPr>
        <w:t>本单位2015年度三公经费决算总支出</w:t>
      </w:r>
      <w:r>
        <w:rPr>
          <w:rFonts w:hint="eastAsia" w:ascii="宋体" w:hAnsi="宋体" w:eastAsia="宋体"/>
          <w:color w:val="000000"/>
          <w:sz w:val="28"/>
          <w:szCs w:val="28"/>
        </w:rPr>
        <w:t>116.89</w:t>
      </w:r>
      <w:r>
        <w:rPr>
          <w:rFonts w:hint="eastAsia" w:ascii="仿宋_GB2312" w:hAnsi="宋体" w:eastAsia="仿宋_GB2312" w:cs="宋体"/>
          <w:sz w:val="28"/>
          <w:szCs w:val="28"/>
          <w:lang w:val="en-US" w:eastAsia="zh-CN"/>
        </w:rPr>
        <w:t>万元，预算安排</w:t>
      </w:r>
      <w:r>
        <w:rPr>
          <w:rFonts w:hint="eastAsia" w:ascii="宋体" w:hAnsi="宋体" w:eastAsia="宋体"/>
          <w:color w:val="000000"/>
          <w:sz w:val="28"/>
          <w:szCs w:val="28"/>
        </w:rPr>
        <w:t>98</w:t>
      </w:r>
      <w:r>
        <w:rPr>
          <w:rFonts w:hint="eastAsia" w:ascii="仿宋_GB2312" w:hAnsi="宋体" w:eastAsia="仿宋_GB2312" w:cs="宋体"/>
          <w:sz w:val="28"/>
          <w:szCs w:val="28"/>
          <w:lang w:val="en-US" w:eastAsia="zh-CN"/>
        </w:rPr>
        <w:t>万</w:t>
      </w:r>
      <w:r>
        <w:rPr>
          <w:rFonts w:hint="eastAsia" w:ascii="仿宋_GB2312" w:hAnsi="仿宋_GB2312" w:eastAsia="仿宋_GB2312" w:cs="仿宋_GB2312"/>
          <w:sz w:val="28"/>
          <w:szCs w:val="28"/>
          <w:lang w:val="en-US" w:eastAsia="zh-CN"/>
        </w:rPr>
        <w:t>元，完成预算的119.28</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w:t>
      </w:r>
    </w:p>
    <w:p>
      <w:pPr>
        <w:numPr>
          <w:numId w:val="0"/>
        </w:num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1、因公出国（境）费</w:t>
      </w:r>
      <w:bookmarkStart w:id="2" w:name="OLE_LINK2"/>
      <w:r>
        <w:rPr>
          <w:rFonts w:hint="eastAsia" w:ascii="仿宋_GB2312" w:hAnsi="仿宋_GB2312" w:eastAsia="仿宋_GB2312" w:cs="仿宋_GB2312"/>
          <w:sz w:val="28"/>
          <w:szCs w:val="28"/>
          <w:lang w:val="en-US" w:eastAsia="zh-CN"/>
        </w:rPr>
        <w:t>决算</w:t>
      </w:r>
      <w:bookmarkEnd w:id="2"/>
      <w:r>
        <w:rPr>
          <w:rFonts w:hint="eastAsia" w:ascii="仿宋_GB2312" w:hAnsi="仿宋_GB2312" w:eastAsia="仿宋_GB2312" w:cs="仿宋_GB2312"/>
          <w:sz w:val="28"/>
          <w:szCs w:val="28"/>
          <w:lang w:val="en-US" w:eastAsia="zh-CN"/>
        </w:rPr>
        <w:t>支出 0万元，与2015年支出预算相比无增减变化。说明：没有安排因公出国（境）学习、考察、参观等项目计划。</w:t>
      </w:r>
    </w:p>
    <w:p>
      <w:pPr>
        <w:numPr>
          <w:numId w:val="0"/>
        </w:num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2、公务用车购置决算支出 </w:t>
      </w:r>
      <w:r>
        <w:rPr>
          <w:rFonts w:hint="eastAsia" w:ascii="仿宋_GB2312" w:hAnsi="仿宋_GB2312" w:eastAsia="仿宋_GB2312" w:cs="仿宋_GB2312"/>
          <w:color w:val="000000"/>
          <w:sz w:val="28"/>
          <w:szCs w:val="28"/>
        </w:rPr>
        <w:t xml:space="preserve">19.69 </w:t>
      </w:r>
      <w:r>
        <w:rPr>
          <w:rFonts w:hint="eastAsia" w:ascii="仿宋_GB2312" w:hAnsi="仿宋_GB2312" w:eastAsia="仿宋_GB2312" w:cs="仿宋_GB2312"/>
          <w:sz w:val="28"/>
          <w:szCs w:val="28"/>
          <w:lang w:val="en-US" w:eastAsia="zh-CN"/>
        </w:rPr>
        <w:t>万元，公务用车运行维护费支出</w:t>
      </w:r>
      <w:r>
        <w:rPr>
          <w:rFonts w:hint="eastAsia" w:ascii="仿宋_GB2312" w:hAnsi="仿宋_GB2312" w:eastAsia="仿宋_GB2312" w:cs="仿宋_GB2312"/>
          <w:color w:val="000000"/>
          <w:sz w:val="28"/>
          <w:szCs w:val="28"/>
        </w:rPr>
        <w:t xml:space="preserve">85.20 </w:t>
      </w:r>
      <w:r>
        <w:rPr>
          <w:rFonts w:hint="eastAsia" w:ascii="仿宋_GB2312" w:hAnsi="仿宋_GB2312" w:eastAsia="仿宋_GB2312" w:cs="仿宋_GB2312"/>
          <w:sz w:val="28"/>
          <w:szCs w:val="28"/>
          <w:lang w:val="en-US" w:eastAsia="zh-CN"/>
        </w:rPr>
        <w:t>万元，与2015年支出预算稍有增加。说明：在公车运行维护方面，我单位积极响应中央号召，压缩车辆运行开支；在车辆购置方面，由于我院特殊办案需求，年中已向财政追加车辆购置预算，购置执法执勤车辆一台。</w:t>
      </w:r>
    </w:p>
    <w:p>
      <w:pPr>
        <w:numPr>
          <w:numId w:val="0"/>
        </w:num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3、公</w:t>
      </w:r>
      <w:bookmarkStart w:id="3" w:name="_GoBack"/>
      <w:r>
        <w:rPr>
          <w:rFonts w:hint="eastAsia" w:ascii="仿宋_GB2312" w:hAnsi="仿宋_GB2312" w:eastAsia="仿宋_GB2312" w:cs="仿宋_GB2312"/>
          <w:sz w:val="28"/>
          <w:szCs w:val="28"/>
          <w:lang w:val="en-US" w:eastAsia="zh-CN"/>
        </w:rPr>
        <w:t>务接待费决算支出12万元，与2015年支出预算相</w:t>
      </w:r>
      <w:bookmarkEnd w:id="3"/>
      <w:r>
        <w:rPr>
          <w:rFonts w:hint="eastAsia" w:ascii="仿宋_GB2312" w:hAnsi="仿宋_GB2312" w:eastAsia="仿宋_GB2312" w:cs="仿宋_GB2312"/>
          <w:sz w:val="28"/>
          <w:szCs w:val="28"/>
          <w:lang w:val="en-US" w:eastAsia="zh-CN"/>
        </w:rPr>
        <w:t>比一样。说明：我部积极响应中央号召，压缩开支。</w:t>
      </w:r>
    </w:p>
    <w:p>
      <w:pPr>
        <w:numPr>
          <w:numId w:val="0"/>
        </w:num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4、</w:t>
      </w:r>
      <w:r>
        <w:rPr>
          <w:rFonts w:hint="eastAsia" w:ascii="仿宋_GB2312" w:hAnsi="仿宋_GB2312" w:eastAsia="仿宋_GB2312" w:cs="仿宋_GB2312"/>
          <w:sz w:val="28"/>
          <w:szCs w:val="28"/>
          <w:lang w:val="en-US" w:eastAsia="zh-CN"/>
        </w:rPr>
        <w:t>本单位全年因出国（境）累计0次，0人；外事接待158次，1720人；年末公务用车保有量为19辆，其中</w:t>
      </w:r>
      <w:r>
        <w:rPr>
          <w:rFonts w:hint="eastAsia" w:ascii="仿宋_GB2312" w:hAnsi="仿宋_GB2312" w:eastAsia="仿宋_GB2312" w:cs="仿宋_GB2312"/>
          <w:sz w:val="28"/>
          <w:szCs w:val="28"/>
        </w:rPr>
        <w:t>一般公务用车</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辆、一般执法执勤用车</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辆、特种专业技术用车</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辆、其他用车</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辆，其他用车主要是</w:t>
      </w:r>
      <w:r>
        <w:rPr>
          <w:rFonts w:hint="eastAsia" w:ascii="仿宋_GB2312" w:hAnsi="仿宋_GB2312" w:eastAsia="仿宋_GB2312" w:cs="仿宋_GB2312"/>
          <w:sz w:val="28"/>
          <w:szCs w:val="28"/>
          <w:lang w:eastAsia="zh-CN"/>
        </w:rPr>
        <w:t>车改封存车辆及已停止使用即将报废处理的车辆</w:t>
      </w:r>
      <w:r>
        <w:rPr>
          <w:rFonts w:hint="eastAsia" w:ascii="仿宋_GB2312" w:hAnsi="仿宋_GB2312" w:eastAsia="仿宋_GB2312" w:cs="仿宋_GB2312"/>
          <w:sz w:val="28"/>
          <w:szCs w:val="28"/>
          <w:lang w:val="en-US" w:eastAsia="zh-CN"/>
        </w:rPr>
        <w:t>。</w:t>
      </w:r>
    </w:p>
    <w:p>
      <w:pPr>
        <w:numPr>
          <w:numId w:val="0"/>
        </w:num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 xml:space="preserve"> 四、</w:t>
      </w:r>
      <w:r>
        <w:rPr>
          <w:rFonts w:hint="eastAsia" w:ascii="仿宋_GB2312" w:hAnsi="仿宋_GB2312" w:eastAsia="仿宋_GB2312" w:cs="仿宋_GB2312"/>
          <w:b/>
          <w:bCs/>
          <w:sz w:val="28"/>
          <w:szCs w:val="28"/>
        </w:rPr>
        <w:t>机关</w:t>
      </w:r>
      <w:r>
        <w:rPr>
          <w:rFonts w:hint="eastAsia" w:ascii="仿宋_GB2312" w:hAnsi="仿宋_GB2312" w:eastAsia="仿宋_GB2312" w:cs="仿宋_GB2312"/>
          <w:b/>
          <w:sz w:val="28"/>
          <w:szCs w:val="28"/>
        </w:rPr>
        <w:t>运行经费支出说明</w:t>
      </w:r>
    </w:p>
    <w:p>
      <w:pPr>
        <w:spacing w:line="580" w:lineRule="exact"/>
        <w:ind w:firstLine="602"/>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2015年本单位机关运行经费决算支出为</w:t>
      </w:r>
      <w:r>
        <w:rPr>
          <w:rFonts w:hint="eastAsia" w:ascii="仿宋_GB2312" w:hAnsi="仿宋_GB2312" w:eastAsia="仿宋_GB2312" w:cs="仿宋_GB2312"/>
          <w:sz w:val="28"/>
          <w:szCs w:val="28"/>
        </w:rPr>
        <w:t>496</w:t>
      </w:r>
      <w:r>
        <w:rPr>
          <w:rFonts w:hint="eastAsia" w:ascii="仿宋_GB2312" w:hAnsi="仿宋_GB2312" w:eastAsia="仿宋_GB2312" w:cs="仿宋_GB2312"/>
          <w:sz w:val="28"/>
          <w:szCs w:val="28"/>
          <w:lang w:val="en-US" w:eastAsia="zh-CN"/>
        </w:rPr>
        <w:t>.48万元，与2014年相比，增加235.44万元。</w:t>
      </w:r>
      <w:r>
        <w:rPr>
          <w:rFonts w:hint="eastAsia" w:ascii="仿宋_GB2312" w:hAnsi="仿宋_GB2312" w:eastAsia="仿宋_GB2312" w:cs="仿宋_GB2312"/>
          <w:sz w:val="28"/>
          <w:szCs w:val="28"/>
        </w:rPr>
        <w:t>主要原因是：</w:t>
      </w:r>
      <w:r>
        <w:rPr>
          <w:rFonts w:hint="eastAsia" w:ascii="仿宋_GB2312" w:hAnsi="仿宋_GB2312" w:eastAsia="仿宋_GB2312" w:cs="仿宋_GB2312"/>
          <w:sz w:val="28"/>
          <w:szCs w:val="28"/>
          <w:lang w:eastAsia="zh-CN"/>
        </w:rPr>
        <w:t>县财政对我院经费保障力度大幅增加，结合我院办公办案经费需求予以充分经费保障。</w:t>
      </w:r>
    </w:p>
    <w:p>
      <w:pPr>
        <w:numPr>
          <w:ilvl w:val="0"/>
          <w:numId w:val="2"/>
        </w:numPr>
        <w:jc w:val="left"/>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rPr>
        <w:t>政府采购支出说明</w:t>
      </w:r>
      <w:r>
        <w:rPr>
          <w:rFonts w:hint="eastAsia" w:ascii="仿宋_GB2312" w:hAnsi="仿宋_GB2312" w:eastAsia="仿宋_GB2312" w:cs="仿宋_GB2312"/>
          <w:b/>
          <w:sz w:val="28"/>
          <w:szCs w:val="28"/>
          <w:lang w:val="en-US" w:eastAsia="zh-CN"/>
        </w:rPr>
        <w:t xml:space="preserve"> </w:t>
      </w:r>
    </w:p>
    <w:p>
      <w:pPr>
        <w:numPr>
          <w:numId w:val="0"/>
        </w:numPr>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sz w:val="28"/>
          <w:szCs w:val="28"/>
        </w:rPr>
        <w:t>2015年本部门政府采购支出总额</w:t>
      </w:r>
      <w:r>
        <w:rPr>
          <w:rFonts w:hint="eastAsia" w:ascii="仿宋_GB2312" w:hAnsi="仿宋_GB2312" w:eastAsia="仿宋_GB2312" w:cs="仿宋_GB2312"/>
          <w:color w:val="000000"/>
          <w:sz w:val="28"/>
          <w:szCs w:val="28"/>
        </w:rPr>
        <w:t>3.33</w:t>
      </w:r>
      <w:r>
        <w:rPr>
          <w:rFonts w:hint="eastAsia" w:ascii="仿宋_GB2312" w:hAnsi="仿宋_GB2312" w:eastAsia="仿宋_GB2312" w:cs="仿宋_GB2312"/>
          <w:sz w:val="28"/>
          <w:szCs w:val="28"/>
        </w:rPr>
        <w:t>万元，</w:t>
      </w:r>
      <w:r>
        <w:rPr>
          <w:rFonts w:hint="eastAsia" w:ascii="仿宋_GB2312" w:hAnsi="仿宋_GB2312" w:eastAsia="仿宋_GB2312" w:cs="仿宋_GB2312"/>
          <w:sz w:val="28"/>
          <w:szCs w:val="28"/>
          <w:lang w:eastAsia="zh-CN"/>
        </w:rPr>
        <w:t>主要是我院部分通用设备的采购。</w:t>
      </w:r>
    </w:p>
    <w:p>
      <w:pPr>
        <w:numPr>
          <w:numId w:val="0"/>
        </w:numPr>
        <w:jc w:val="left"/>
        <w:rPr>
          <w:rFonts w:hint="eastAsia" w:ascii="仿宋_GB2312" w:hAnsi="仿宋_GB2312" w:eastAsia="仿宋_GB2312" w:cs="仿宋_GB2312"/>
          <w:sz w:val="28"/>
          <w:szCs w:val="28"/>
          <w:lang w:eastAsia="zh-CN"/>
        </w:rPr>
      </w:pPr>
    </w:p>
    <w:p>
      <w:pPr>
        <w:numPr>
          <w:numId w:val="0"/>
        </w:numPr>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遂溪县人民法院</w:t>
      </w:r>
    </w:p>
    <w:p>
      <w:pPr>
        <w:numPr>
          <w:numId w:val="0"/>
        </w:numPr>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2016年9月1日</w:t>
      </w: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A00002EF" w:usb1="4000004B" w:usb2="00000000" w:usb3="00000000" w:csb0="2000009F" w:csb1="00000000"/>
  </w:font>
  <w:font w:name="Calibri">
    <w:panose1 w:val="020F0502020204030204"/>
    <w:charset w:val="00"/>
    <w:family w:val="auto"/>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楷体">
    <w:altName w:val="楷体_GB2312"/>
    <w:panose1 w:val="02010609060101010101"/>
    <w:charset w:val="86"/>
    <w:family w:val="auto"/>
    <w:pitch w:val="default"/>
    <w:sig w:usb0="800002BF" w:usb1="38CF7CFA" w:usb2="00000016" w:usb3="00000000" w:csb0="00040001" w:csb1="00000000"/>
  </w:font>
  <w:font w:name="MS Mincho">
    <w:altName w:val="MS UI Gothic"/>
    <w:panose1 w:val="02020609040205080304"/>
    <w:charset w:val="80"/>
    <w:family w:val="auto"/>
    <w:pitch w:val="default"/>
    <w:sig w:usb0="E00002FF" w:usb1="6AC7FDFB" w:usb2="00000012" w:usb3="00000000" w:csb0="4002009F" w:csb1="DFD70000"/>
  </w:font>
  <w:font w:name="华文中宋">
    <w:altName w:val="宋体"/>
    <w:panose1 w:val="02010600040101010101"/>
    <w:charset w:val="86"/>
    <w:family w:val="auto"/>
    <w:pitch w:val="default"/>
    <w:sig w:usb0="00000000" w:usb1="00000000" w:usb2="00000010" w:usb3="00000000" w:csb0="0004009F" w:csb1="00000000"/>
  </w:font>
  <w:font w:name="Verdana">
    <w:panose1 w:val="020B0604030504040204"/>
    <w:charset w:val="00"/>
    <w:family w:val="auto"/>
    <w:pitch w:val="default"/>
    <w:sig w:usb0="00000287" w:usb1="00000000" w:usb2="00000000" w:usb3="00000000" w:csb0="2000019F" w:csb1="00000000"/>
  </w:font>
  <w:font w:name="Calibri Light">
    <w:altName w:val="Calibri"/>
    <w:panose1 w:val="020F0302020204030204"/>
    <w:charset w:val="00"/>
    <w:family w:val="auto"/>
    <w:pitch w:val="default"/>
    <w:sig w:usb0="A00002EF" w:usb1="4000207B" w:usb2="00000000" w:usb3="00000000" w:csb0="2000019F" w:csb1="00000000"/>
  </w:font>
  <w:font w:name="MS UI Gothic">
    <w:panose1 w:val="020B0600070205080204"/>
    <w:charset w:val="80"/>
    <w:family w:val="auto"/>
    <w:pitch w:val="default"/>
    <w:sig w:usb0="A00002BF" w:usb1="68C7FCFB" w:usb2="00000010" w:usb3="00000000" w:csb0="4002009F" w:csb1="DFD70000"/>
  </w:font>
  <w:font w:name="Times New Roman CE">
    <w:altName w:val="Times New Roman"/>
    <w:panose1 w:val="00000000000000000000"/>
    <w:charset w:val="EE"/>
    <w:family w:val="auto"/>
    <w:pitch w:val="default"/>
    <w:sig w:usb0="00000000" w:usb1="00000000" w:usb2="00000000" w:usb3="00000000" w:csb0="00000002" w:csb1="00000000"/>
  </w:font>
  <w:font w:name="Times New Roman Cyr">
    <w:altName w:val="Times New Roman"/>
    <w:panose1 w:val="00000000000000000000"/>
    <w:charset w:val="CC"/>
    <w:family w:val="auto"/>
    <w:pitch w:val="default"/>
    <w:sig w:usb0="00000000" w:usb1="00000000" w:usb2="00000000" w:usb3="00000000" w:csb0="00000004" w:csb1="00000000"/>
  </w:font>
  <w:font w:name="Times New Roman Greek">
    <w:altName w:val="Times New Roman"/>
    <w:panose1 w:val="00000000000000000000"/>
    <w:charset w:val="A1"/>
    <w:family w:val="auto"/>
    <w:pitch w:val="default"/>
    <w:sig w:usb0="00000000" w:usb1="00000000" w:usb2="00000000" w:usb3="00000000" w:csb0="00000008" w:csb1="00000000"/>
  </w:font>
  <w:font w:name="Times New Roman Tur">
    <w:altName w:val="Times New Roman"/>
    <w:panose1 w:val="00000000000000000000"/>
    <w:charset w:val="A2"/>
    <w:family w:val="auto"/>
    <w:pitch w:val="default"/>
    <w:sig w:usb0="00000000" w:usb1="00000000" w:usb2="00000000" w:usb3="00000000" w:csb0="00000010" w:csb1="00000000"/>
  </w:font>
  <w:font w:name="Times New Roman (Hebrew)">
    <w:altName w:val="Times New Roman"/>
    <w:panose1 w:val="00000000000000000000"/>
    <w:charset w:val="B1"/>
    <w:family w:val="auto"/>
    <w:pitch w:val="default"/>
    <w:sig w:usb0="00000000" w:usb1="00000000" w:usb2="00000000" w:usb3="00000000" w:csb0="00000020" w:csb1="00000000"/>
  </w:font>
  <w:font w:name="Times New Roman (Arabic)">
    <w:altName w:val="Times New Roman"/>
    <w:panose1 w:val="00000000000000000000"/>
    <w:charset w:val="B2"/>
    <w:family w:val="auto"/>
    <w:pitch w:val="default"/>
    <w:sig w:usb0="00000000" w:usb1="00000000" w:usb2="00000000" w:usb3="00000000" w:csb0="00000040" w:csb1="00000000"/>
  </w:font>
  <w:font w:name="Times New Roman Baltic">
    <w:altName w:val="Times New Roman"/>
    <w:panose1 w:val="00000000000000000000"/>
    <w:charset w:val="BA"/>
    <w:family w:val="auto"/>
    <w:pitch w:val="default"/>
    <w:sig w:usb0="00000000" w:usb1="00000000" w:usb2="00000000" w:usb3="00000000" w:csb0="00000080" w:csb1="00000000"/>
  </w:font>
  <w:font w:name="Times New Roman (Vietnamese)">
    <w:altName w:val="Times New Roman"/>
    <w:panose1 w:val="00000000000000000000"/>
    <w:charset w:val="A3"/>
    <w:family w:val="auto"/>
    <w:pitch w:val="default"/>
    <w:sig w:usb0="00000000" w:usb1="00000000" w:usb2="00000000" w:usb3="00000000" w:csb0="00000100" w:csb1="00000000"/>
  </w:font>
  <w:font w:name="SimSun Western">
    <w:altName w:val="宋体"/>
    <w:panose1 w:val="00000000000000000000"/>
    <w:charset w:val="00"/>
    <w:family w:val="auto"/>
    <w:pitch w:val="default"/>
    <w:sig w:usb0="00000000" w:usb1="00000000" w:usb2="00000000" w:usb3="00000000" w:csb0="00000001" w:csb1="00000000"/>
  </w:font>
  <w:font w:name="ËÎÌå">
    <w:altName w:val="Courier New"/>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
    <w:nsid w:val="00000005"/>
    <w:multiLevelType w:val="singleLevel"/>
    <w:tmpl w:val="00000005"/>
    <w:lvl w:ilvl="0" w:tentative="1">
      <w:start w:val="1"/>
      <w:numFmt w:val="chineseCounting"/>
      <w:suff w:val="nothing"/>
      <w:lvlText w:val="%1、"/>
      <w:lvlJc w:val="left"/>
    </w:lvl>
  </w:abstractNum>
  <w:abstractNum w:abstractNumId="11">
    <w:nsid w:val="0000000B"/>
    <w:multiLevelType w:val="singleLevel"/>
    <w:tmpl w:val="0000000B"/>
    <w:lvl w:ilvl="0" w:tentative="1">
      <w:start w:val="5"/>
      <w:numFmt w:val="chineseCounting"/>
      <w:suff w:val="nothing"/>
      <w:lvlText w:val="%1、"/>
      <w:lvlJc w:val="left"/>
    </w:lvl>
  </w:abstractNum>
  <w:num w:numId="1">
    <w:abstractNumId w:val="5"/>
  </w:num>
  <w:num w:numId="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黑体"/>
      <w:kern w:val="2"/>
      <w:sz w:val="21"/>
      <w:szCs w:val="24"/>
      <w:lang w:val="en-US" w:eastAsia="zh-CN" w:bidi="ar-SA"/>
    </w:rPr>
  </w:style>
  <w:style w:type="character" w:default="1" w:styleId="2">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个人版_9.1.0.4180</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2016-08-31T07:14:00Z</dcterms:created>
  <dc:creator>Administrator</dc:creator>
  <dcterms:modified xsi:type="dcterms:W3CDTF">2016-09-02T09:15:21Z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