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遂溪县人民政府地方志办公室权责清单</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表一（行政许可）2项</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850"/>
        <w:gridCol w:w="709"/>
        <w:gridCol w:w="851"/>
        <w:gridCol w:w="3685"/>
        <w:gridCol w:w="851"/>
        <w:gridCol w:w="850"/>
        <w:gridCol w:w="3402"/>
        <w:gridCol w:w="1276"/>
        <w:gridCol w:w="732"/>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3" w:hRule="atLeast"/>
        </w:trPr>
        <w:tc>
          <w:tcPr>
            <w:tcW w:w="392"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50"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职权名称</w:t>
            </w:r>
          </w:p>
        </w:tc>
        <w:tc>
          <w:tcPr>
            <w:tcW w:w="709"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编码</w:t>
            </w:r>
          </w:p>
        </w:tc>
        <w:tc>
          <w:tcPr>
            <w:tcW w:w="851"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子项名称</w:t>
            </w:r>
          </w:p>
        </w:tc>
        <w:tc>
          <w:tcPr>
            <w:tcW w:w="3685"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依据</w:t>
            </w:r>
          </w:p>
        </w:tc>
        <w:tc>
          <w:tcPr>
            <w:tcW w:w="851"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审批</w:t>
            </w:r>
          </w:p>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对象</w:t>
            </w:r>
          </w:p>
        </w:tc>
        <w:tc>
          <w:tcPr>
            <w:tcW w:w="850"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其他共同审批部门</w:t>
            </w:r>
          </w:p>
        </w:tc>
        <w:tc>
          <w:tcPr>
            <w:tcW w:w="3402"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责任事项</w:t>
            </w:r>
          </w:p>
        </w:tc>
        <w:tc>
          <w:tcPr>
            <w:tcW w:w="1276" w:type="dxa"/>
            <w:vAlign w:val="center"/>
          </w:tcPr>
          <w:p>
            <w:pPr>
              <w:spacing w:line="3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问责依据及监督方式</w:t>
            </w:r>
          </w:p>
        </w:tc>
        <w:tc>
          <w:tcPr>
            <w:tcW w:w="732"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w:t>
            </w:r>
          </w:p>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576"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92" w:type="dxa"/>
            <w:tcBorders>
              <w:bottom w:val="single" w:color="auto" w:sz="4" w:space="0"/>
            </w:tcBorders>
            <w:vAlign w:val="center"/>
          </w:tcPr>
          <w:p>
            <w:pPr>
              <w:spacing w:line="380" w:lineRule="exact"/>
              <w:jc w:val="center"/>
              <w:rPr>
                <w:rFonts w:ascii="仿宋" w:hAnsi="仿宋" w:eastAsia="仿宋" w:cs="仿宋_GB2312"/>
                <w:szCs w:val="21"/>
              </w:rPr>
            </w:pPr>
            <w:r>
              <w:rPr>
                <w:rFonts w:hint="eastAsia" w:ascii="仿宋" w:hAnsi="仿宋" w:eastAsia="仿宋" w:cs="仿宋_GB2312"/>
                <w:szCs w:val="21"/>
              </w:rPr>
              <w:t>1</w:t>
            </w:r>
          </w:p>
        </w:tc>
        <w:tc>
          <w:tcPr>
            <w:tcW w:w="850" w:type="dxa"/>
            <w:tcBorders>
              <w:bottom w:val="single" w:color="auto" w:sz="4" w:space="0"/>
            </w:tcBorders>
            <w:vAlign w:val="center"/>
          </w:tcPr>
          <w:p>
            <w:pPr>
              <w:spacing w:line="320" w:lineRule="exact"/>
              <w:jc w:val="left"/>
              <w:rPr>
                <w:rFonts w:ascii="仿宋" w:hAnsi="仿宋" w:eastAsia="仿宋" w:cs="仿宋_GB2312"/>
                <w:szCs w:val="21"/>
              </w:rPr>
            </w:pPr>
            <w:r>
              <w:rPr>
                <w:rFonts w:hint="eastAsia" w:ascii="仿宋" w:hAnsi="仿宋" w:eastAsia="仿宋" w:cs="仿宋_GB2312"/>
                <w:szCs w:val="21"/>
              </w:rPr>
              <w:t>县级地方志书、综合年鉴冠名编纂许可</w:t>
            </w:r>
          </w:p>
          <w:p>
            <w:pPr>
              <w:spacing w:line="320" w:lineRule="exact"/>
              <w:jc w:val="left"/>
              <w:rPr>
                <w:rFonts w:ascii="仿宋" w:hAnsi="仿宋" w:eastAsia="仿宋" w:cs="仿宋_GB2312"/>
                <w:szCs w:val="21"/>
              </w:rPr>
            </w:pPr>
          </w:p>
          <w:p>
            <w:pPr>
              <w:spacing w:line="320" w:lineRule="exact"/>
              <w:jc w:val="center"/>
              <w:rPr>
                <w:rFonts w:ascii="仿宋" w:hAnsi="仿宋" w:eastAsia="仿宋" w:cs="仿宋_GB2312"/>
                <w:szCs w:val="21"/>
              </w:rPr>
            </w:pPr>
          </w:p>
          <w:p>
            <w:pPr>
              <w:spacing w:line="320" w:lineRule="exact"/>
              <w:jc w:val="center"/>
              <w:rPr>
                <w:rFonts w:ascii="仿宋" w:hAnsi="仿宋" w:eastAsia="仿宋" w:cs="仿宋_GB2312"/>
                <w:szCs w:val="21"/>
              </w:rPr>
            </w:pPr>
          </w:p>
        </w:tc>
        <w:tc>
          <w:tcPr>
            <w:tcW w:w="709" w:type="dxa"/>
            <w:tcBorders>
              <w:bottom w:val="single" w:color="auto" w:sz="4" w:space="0"/>
            </w:tcBorders>
            <w:vAlign w:val="center"/>
          </w:tcPr>
          <w:p>
            <w:pPr>
              <w:spacing w:line="320" w:lineRule="exact"/>
              <w:jc w:val="left"/>
              <w:rPr>
                <w:rFonts w:ascii="仿宋" w:hAnsi="仿宋" w:eastAsia="仿宋" w:cs="仿宋_GB2312"/>
                <w:szCs w:val="21"/>
              </w:rPr>
            </w:pPr>
            <w:r>
              <w:rPr>
                <w:rFonts w:hint="eastAsia" w:ascii="仿宋" w:hAnsi="仿宋" w:eastAsia="仿宋" w:cs="仿宋_GB2312"/>
                <w:szCs w:val="21"/>
              </w:rPr>
              <w:t>00711217940100001000440823</w:t>
            </w:r>
          </w:p>
          <w:p>
            <w:pPr>
              <w:spacing w:line="320" w:lineRule="exact"/>
              <w:jc w:val="center"/>
              <w:rPr>
                <w:rFonts w:ascii="仿宋" w:hAnsi="仿宋" w:eastAsia="仿宋" w:cs="仿宋_GB2312"/>
                <w:szCs w:val="21"/>
              </w:rPr>
            </w:pPr>
          </w:p>
          <w:p>
            <w:pPr>
              <w:spacing w:line="320" w:lineRule="exact"/>
              <w:jc w:val="center"/>
              <w:rPr>
                <w:rFonts w:ascii="仿宋" w:hAnsi="仿宋" w:eastAsia="仿宋" w:cs="仿宋_GB2312"/>
                <w:szCs w:val="21"/>
              </w:rPr>
            </w:pPr>
          </w:p>
          <w:p>
            <w:pPr>
              <w:spacing w:line="320" w:lineRule="exact"/>
              <w:jc w:val="center"/>
              <w:rPr>
                <w:rFonts w:ascii="仿宋" w:hAnsi="仿宋" w:eastAsia="仿宋" w:cs="仿宋_GB2312"/>
                <w:szCs w:val="21"/>
              </w:rPr>
            </w:pPr>
          </w:p>
        </w:tc>
        <w:tc>
          <w:tcPr>
            <w:tcW w:w="851" w:type="dxa"/>
            <w:vAlign w:val="center"/>
          </w:tcPr>
          <w:p>
            <w:pPr>
              <w:spacing w:line="380" w:lineRule="exact"/>
              <w:jc w:val="center"/>
              <w:rPr>
                <w:rFonts w:ascii="仿宋" w:hAnsi="仿宋" w:eastAsia="仿宋" w:cs="仿宋_GB2312"/>
                <w:szCs w:val="21"/>
              </w:rPr>
            </w:pPr>
          </w:p>
        </w:tc>
        <w:tc>
          <w:tcPr>
            <w:tcW w:w="3685" w:type="dxa"/>
            <w:vAlign w:val="center"/>
          </w:tcPr>
          <w:p>
            <w:pPr>
              <w:spacing w:line="380" w:lineRule="exact"/>
              <w:jc w:val="left"/>
              <w:rPr>
                <w:rFonts w:ascii="仿宋" w:hAnsi="仿宋" w:eastAsia="仿宋" w:cs="仿宋_GB2312"/>
                <w:szCs w:val="21"/>
              </w:rPr>
            </w:pPr>
            <w:r>
              <w:rPr>
                <w:rFonts w:hint="eastAsia" w:ascii="仿宋" w:hAnsi="仿宋" w:eastAsia="仿宋" w:cs="仿宋_GB2312"/>
                <w:b/>
                <w:bCs/>
                <w:szCs w:val="21"/>
              </w:rPr>
              <w:t>【行政法规】</w:t>
            </w:r>
            <w:r>
              <w:rPr>
                <w:rFonts w:hint="eastAsia" w:ascii="仿宋" w:hAnsi="仿宋" w:eastAsia="仿宋" w:cs="仿宋_GB2312"/>
                <w:szCs w:val="21"/>
              </w:rPr>
              <w:t>《地方志工作条例》（2006年国务院令第467号）</w:t>
            </w:r>
          </w:p>
          <w:p>
            <w:pPr>
              <w:spacing w:line="380" w:lineRule="exact"/>
              <w:jc w:val="left"/>
              <w:rPr>
                <w:rFonts w:ascii="仿宋" w:hAnsi="仿宋" w:eastAsia="仿宋" w:cs="仿宋_GB2312"/>
                <w:szCs w:val="21"/>
              </w:rPr>
            </w:pPr>
            <w:r>
              <w:rPr>
                <w:rFonts w:hint="eastAsia" w:ascii="仿宋" w:hAnsi="仿宋" w:eastAsia="仿宋" w:cs="仿宋_GB2312"/>
                <w:szCs w:val="21"/>
              </w:rPr>
              <w:t>　　第八条　以县级以上行政区域冠名的地方志书、地方综合年鉴，分别由</w:t>
            </w:r>
            <w:r>
              <w:rPr>
                <w:rFonts w:hint="eastAsia" w:ascii="仿宋" w:hAnsi="仿宋" w:eastAsia="仿宋" w:cs="仿宋_GB2312"/>
                <w:b/>
                <w:bCs/>
                <w:szCs w:val="21"/>
              </w:rPr>
              <w:t>本级人民政府负责地方志工作的机构</w:t>
            </w:r>
            <w:r>
              <w:rPr>
                <w:rFonts w:hint="eastAsia" w:ascii="仿宋" w:hAnsi="仿宋" w:eastAsia="仿宋" w:cs="仿宋_GB2312"/>
                <w:szCs w:val="21"/>
              </w:rPr>
              <w:t>按照规划组织编纂，其他组织和个人不得编纂。</w:t>
            </w:r>
          </w:p>
        </w:tc>
        <w:tc>
          <w:tcPr>
            <w:tcW w:w="851" w:type="dxa"/>
            <w:vAlign w:val="center"/>
          </w:tcPr>
          <w:p>
            <w:pPr>
              <w:spacing w:line="380" w:lineRule="exact"/>
              <w:jc w:val="left"/>
              <w:rPr>
                <w:rFonts w:ascii="仿宋" w:hAnsi="仿宋" w:eastAsia="仿宋" w:cs="仿宋_GB2312"/>
                <w:szCs w:val="21"/>
              </w:rPr>
            </w:pPr>
            <w:r>
              <w:rPr>
                <w:rFonts w:hint="eastAsia" w:ascii="仿宋" w:hAnsi="仿宋" w:eastAsia="仿宋" w:cs="仿宋_GB2312"/>
                <w:szCs w:val="21"/>
              </w:rPr>
              <w:t>《遂溪县志》</w:t>
            </w:r>
          </w:p>
          <w:p>
            <w:pPr>
              <w:spacing w:line="380" w:lineRule="exact"/>
              <w:jc w:val="left"/>
              <w:rPr>
                <w:rFonts w:ascii="仿宋" w:hAnsi="仿宋" w:eastAsia="仿宋" w:cs="仿宋_GB2312"/>
                <w:szCs w:val="21"/>
              </w:rPr>
            </w:pPr>
            <w:r>
              <w:rPr>
                <w:rFonts w:hint="eastAsia" w:ascii="仿宋" w:hAnsi="仿宋" w:eastAsia="仿宋" w:cs="仿宋_GB2312"/>
                <w:szCs w:val="21"/>
              </w:rPr>
              <w:t>《遂溪年鉴》冠名编纂单位</w:t>
            </w:r>
          </w:p>
          <w:p>
            <w:pPr>
              <w:spacing w:line="380" w:lineRule="exact"/>
              <w:jc w:val="left"/>
              <w:rPr>
                <w:rFonts w:ascii="仿宋" w:hAnsi="仿宋" w:eastAsia="仿宋" w:cs="仿宋_GB2312"/>
                <w:szCs w:val="21"/>
              </w:rPr>
            </w:pPr>
          </w:p>
        </w:tc>
        <w:tc>
          <w:tcPr>
            <w:tcW w:w="850" w:type="dxa"/>
            <w:vAlign w:val="center"/>
          </w:tcPr>
          <w:p>
            <w:pPr>
              <w:spacing w:line="380" w:lineRule="exact"/>
              <w:jc w:val="center"/>
              <w:rPr>
                <w:rFonts w:ascii="仿宋" w:hAnsi="仿宋" w:eastAsia="仿宋" w:cs="仿宋_GB2312"/>
                <w:szCs w:val="21"/>
              </w:rPr>
            </w:pPr>
            <w:r>
              <w:rPr>
                <w:rFonts w:hint="eastAsia" w:ascii="仿宋" w:hAnsi="仿宋" w:eastAsia="仿宋" w:cs="仿宋_GB2312"/>
                <w:szCs w:val="21"/>
              </w:rPr>
              <w:t>无</w:t>
            </w:r>
          </w:p>
        </w:tc>
        <w:tc>
          <w:tcPr>
            <w:tcW w:w="3402" w:type="dxa"/>
            <w:vAlign w:val="center"/>
          </w:tcPr>
          <w:p>
            <w:pPr>
              <w:numPr>
                <w:ilvl w:val="0"/>
                <w:numId w:val="1"/>
              </w:numPr>
              <w:spacing w:line="380" w:lineRule="exact"/>
              <w:jc w:val="left"/>
              <w:rPr>
                <w:rFonts w:ascii="仿宋" w:hAnsi="仿宋" w:eastAsia="仿宋" w:cs="仿宋_GB2312"/>
                <w:szCs w:val="21"/>
              </w:rPr>
            </w:pPr>
            <w:r>
              <w:rPr>
                <w:rFonts w:hint="eastAsia" w:ascii="仿宋" w:hAnsi="仿宋" w:eastAsia="仿宋" w:cs="仿宋_GB2312"/>
                <w:b/>
                <w:bCs/>
                <w:szCs w:val="21"/>
              </w:rPr>
              <w:t>受理前责任：</w:t>
            </w:r>
            <w:r>
              <w:rPr>
                <w:rFonts w:hint="eastAsia" w:ascii="仿宋" w:hAnsi="仿宋" w:eastAsia="仿宋" w:cs="仿宋_GB2312"/>
                <w:szCs w:val="21"/>
              </w:rPr>
              <w:t xml:space="preserve">依法编制并公布办事指南，业务手册，明确办理流程、时限，做好宣传引导和咨询服务。                               </w:t>
            </w:r>
            <w:r>
              <w:rPr>
                <w:rFonts w:hint="eastAsia" w:ascii="仿宋" w:hAnsi="仿宋" w:eastAsia="仿宋" w:cs="仿宋_GB2312"/>
                <w:b/>
                <w:bCs/>
                <w:szCs w:val="21"/>
              </w:rPr>
              <w:t>2．受理责任：</w:t>
            </w:r>
            <w:r>
              <w:rPr>
                <w:rFonts w:hint="eastAsia" w:ascii="仿宋" w:hAnsi="仿宋" w:eastAsia="仿宋" w:cs="仿宋_GB2312"/>
                <w:szCs w:val="21"/>
              </w:rPr>
              <w:t xml:space="preserve">依法受理或不予受理，不予受理告知理由，并一次性告知补正材料。                                                  </w:t>
            </w:r>
            <w:r>
              <w:rPr>
                <w:rFonts w:hint="eastAsia" w:ascii="仿宋" w:hAnsi="仿宋" w:eastAsia="仿宋" w:cs="仿宋_GB2312"/>
                <w:b/>
                <w:bCs/>
                <w:szCs w:val="21"/>
              </w:rPr>
              <w:t>3．审查责任：</w:t>
            </w:r>
            <w:r>
              <w:rPr>
                <w:rFonts w:hint="eastAsia" w:ascii="仿宋" w:hAnsi="仿宋" w:eastAsia="仿宋" w:cs="仿宋_GB2312"/>
                <w:szCs w:val="21"/>
              </w:rPr>
              <w:t xml:space="preserve">在法定和承诺时限内，对承修单位提交的材料进行审查。                                                          </w:t>
            </w:r>
            <w:r>
              <w:rPr>
                <w:rFonts w:hint="eastAsia" w:ascii="仿宋" w:hAnsi="仿宋" w:eastAsia="仿宋" w:cs="仿宋_GB2312"/>
                <w:b/>
                <w:bCs/>
                <w:szCs w:val="21"/>
              </w:rPr>
              <w:t>4．决定责任：</w:t>
            </w:r>
            <w:r>
              <w:rPr>
                <w:rFonts w:hint="eastAsia" w:ascii="仿宋" w:hAnsi="仿宋" w:eastAsia="仿宋" w:cs="仿宋_GB2312"/>
                <w:szCs w:val="21"/>
              </w:rPr>
              <w:t>作出行政许可或不予许可决定，并按程序告知。</w:t>
            </w:r>
          </w:p>
          <w:p>
            <w:pPr>
              <w:spacing w:line="380" w:lineRule="exact"/>
              <w:jc w:val="left"/>
              <w:rPr>
                <w:rFonts w:ascii="仿宋" w:hAnsi="仿宋" w:eastAsia="仿宋" w:cs="仿宋_GB2312"/>
                <w:szCs w:val="21"/>
              </w:rPr>
            </w:pPr>
            <w:r>
              <w:rPr>
                <w:rFonts w:hint="eastAsia" w:ascii="仿宋" w:hAnsi="仿宋" w:eastAsia="仿宋" w:cs="仿宋_GB2312"/>
                <w:b/>
                <w:bCs/>
                <w:szCs w:val="21"/>
              </w:rPr>
              <w:t>5.送达责任：</w:t>
            </w:r>
            <w:r>
              <w:rPr>
                <w:rFonts w:hint="eastAsia" w:ascii="仿宋" w:hAnsi="仿宋" w:eastAsia="仿宋" w:cs="仿宋_GB2312"/>
                <w:szCs w:val="21"/>
              </w:rPr>
              <w:t xml:space="preserve">对条件符合规定要求的单位，书面通知并纸质送达，对不符合条件的，书面通知承修单位并说明理由。                      </w:t>
            </w:r>
          </w:p>
          <w:p>
            <w:pPr>
              <w:spacing w:line="380" w:lineRule="exact"/>
              <w:jc w:val="left"/>
              <w:rPr>
                <w:rFonts w:ascii="仿宋" w:hAnsi="仿宋" w:eastAsia="仿宋" w:cs="仿宋_GB2312"/>
                <w:szCs w:val="21"/>
              </w:rPr>
            </w:pPr>
            <w:r>
              <w:rPr>
                <w:rFonts w:hint="eastAsia" w:ascii="仿宋" w:hAnsi="仿宋" w:eastAsia="仿宋" w:cs="仿宋_GB2312"/>
                <w:b/>
                <w:bCs/>
                <w:szCs w:val="21"/>
              </w:rPr>
              <w:t>6.其它责任：</w:t>
            </w:r>
            <w:r>
              <w:rPr>
                <w:rFonts w:hint="eastAsia" w:ascii="仿宋" w:hAnsi="仿宋" w:eastAsia="仿宋" w:cs="仿宋_GB2312"/>
                <w:szCs w:val="21"/>
              </w:rPr>
              <w:t>法律法规规章规定应履行的责任。</w:t>
            </w:r>
          </w:p>
          <w:p>
            <w:pPr>
              <w:spacing w:line="380" w:lineRule="exact"/>
              <w:jc w:val="left"/>
              <w:rPr>
                <w:rFonts w:ascii="仿宋" w:hAnsi="仿宋" w:eastAsia="仿宋" w:cs="仿宋_GB2312"/>
                <w:szCs w:val="21"/>
              </w:rPr>
            </w:pPr>
          </w:p>
        </w:tc>
        <w:tc>
          <w:tcPr>
            <w:tcW w:w="1276" w:type="dxa"/>
            <w:vAlign w:val="center"/>
          </w:tcPr>
          <w:p>
            <w:pPr>
              <w:spacing w:line="380" w:lineRule="exact"/>
              <w:jc w:val="left"/>
              <w:rPr>
                <w:rFonts w:ascii="仿宋" w:hAnsi="仿宋" w:eastAsia="仿宋" w:cs="仿宋_GB2312"/>
                <w:szCs w:val="21"/>
              </w:rPr>
            </w:pPr>
            <w:r>
              <w:rPr>
                <w:rFonts w:hint="eastAsia" w:ascii="仿宋" w:hAnsi="仿宋" w:eastAsia="仿宋" w:cs="仿宋_GB2312"/>
                <w:b/>
                <w:bCs/>
                <w:szCs w:val="21"/>
              </w:rPr>
              <w:t>问责依据：</w:t>
            </w:r>
            <w:r>
              <w:rPr>
                <w:rFonts w:hint="eastAsia" w:ascii="仿宋" w:hAnsi="仿宋" w:eastAsia="仿宋" w:cs="仿宋_GB2312"/>
                <w:szCs w:val="21"/>
              </w:rPr>
              <w:t>《地方志工作条例》（2006年国务院令第467号）第八条。</w:t>
            </w:r>
          </w:p>
          <w:p>
            <w:pPr>
              <w:spacing w:line="380" w:lineRule="exact"/>
              <w:jc w:val="left"/>
              <w:rPr>
                <w:rFonts w:ascii="仿宋" w:hAnsi="仿宋" w:eastAsia="仿宋" w:cs="仿宋_GB2312"/>
                <w:szCs w:val="21"/>
              </w:rPr>
            </w:pPr>
            <w:r>
              <w:rPr>
                <w:rFonts w:hint="eastAsia" w:ascii="仿宋" w:hAnsi="仿宋" w:eastAsia="仿宋" w:cs="仿宋_GB2312"/>
                <w:b/>
                <w:bCs/>
                <w:szCs w:val="21"/>
              </w:rPr>
              <w:t>监督方式：</w:t>
            </w:r>
            <w:r>
              <w:rPr>
                <w:rFonts w:hint="eastAsia" w:ascii="仿宋" w:hAnsi="仿宋" w:eastAsia="仿宋" w:cs="仿宋_GB2312"/>
                <w:szCs w:val="21"/>
              </w:rPr>
              <w:t>0759－7780598</w:t>
            </w:r>
          </w:p>
          <w:p>
            <w:pPr>
              <w:spacing w:line="380" w:lineRule="exact"/>
              <w:jc w:val="left"/>
              <w:rPr>
                <w:rFonts w:ascii="仿宋" w:hAnsi="仿宋" w:eastAsia="仿宋" w:cs="仿宋_GB2312"/>
                <w:szCs w:val="21"/>
              </w:rPr>
            </w:pPr>
          </w:p>
        </w:tc>
        <w:tc>
          <w:tcPr>
            <w:tcW w:w="732" w:type="dxa"/>
            <w:vAlign w:val="center"/>
          </w:tcPr>
          <w:p>
            <w:pPr>
              <w:spacing w:line="380" w:lineRule="exact"/>
              <w:jc w:val="left"/>
              <w:rPr>
                <w:rFonts w:ascii="仿宋_GB2312" w:hAnsi="仿宋_GB2312" w:eastAsia="仿宋_GB2312" w:cs="仿宋_GB2312"/>
                <w:szCs w:val="21"/>
              </w:rPr>
            </w:pPr>
          </w:p>
        </w:tc>
        <w:tc>
          <w:tcPr>
            <w:tcW w:w="576" w:type="dxa"/>
            <w:vAlign w:val="center"/>
          </w:tcPr>
          <w:p>
            <w:pPr>
              <w:spacing w:line="380" w:lineRule="exact"/>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trPr>
        <w:tc>
          <w:tcPr>
            <w:tcW w:w="392" w:type="dxa"/>
            <w:tcBorders>
              <w:bottom w:val="single" w:color="auto" w:sz="4" w:space="0"/>
            </w:tcBorders>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50" w:type="dxa"/>
            <w:tcBorders>
              <w:bottom w:val="single" w:color="auto" w:sz="4" w:space="0"/>
            </w:tcBorders>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职权名称</w:t>
            </w:r>
          </w:p>
        </w:tc>
        <w:tc>
          <w:tcPr>
            <w:tcW w:w="709" w:type="dxa"/>
            <w:tcBorders>
              <w:bottom w:val="single" w:color="auto" w:sz="4" w:space="0"/>
            </w:tcBorders>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编码</w:t>
            </w:r>
          </w:p>
        </w:tc>
        <w:tc>
          <w:tcPr>
            <w:tcW w:w="851"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子项名称</w:t>
            </w:r>
          </w:p>
        </w:tc>
        <w:tc>
          <w:tcPr>
            <w:tcW w:w="3685"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依据</w:t>
            </w:r>
          </w:p>
        </w:tc>
        <w:tc>
          <w:tcPr>
            <w:tcW w:w="851"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审批</w:t>
            </w:r>
          </w:p>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对象</w:t>
            </w:r>
          </w:p>
        </w:tc>
        <w:tc>
          <w:tcPr>
            <w:tcW w:w="850"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其他共同审批部门</w:t>
            </w:r>
          </w:p>
        </w:tc>
        <w:tc>
          <w:tcPr>
            <w:tcW w:w="3402"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责任事项</w:t>
            </w:r>
          </w:p>
        </w:tc>
        <w:tc>
          <w:tcPr>
            <w:tcW w:w="1276" w:type="dxa"/>
            <w:vAlign w:val="center"/>
          </w:tcPr>
          <w:p>
            <w:pPr>
              <w:spacing w:line="3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问责依据及监督方式</w:t>
            </w:r>
          </w:p>
        </w:tc>
        <w:tc>
          <w:tcPr>
            <w:tcW w:w="732"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w:t>
            </w:r>
          </w:p>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576" w:type="dxa"/>
            <w:vAlign w:val="center"/>
          </w:tcPr>
          <w:p>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0" w:hRule="atLeast"/>
        </w:trPr>
        <w:tc>
          <w:tcPr>
            <w:tcW w:w="392" w:type="dxa"/>
            <w:vMerge w:val="restart"/>
            <w:tcBorders>
              <w:top w:val="single" w:color="auto" w:sz="4" w:space="0"/>
            </w:tcBorders>
            <w:vAlign w:val="center"/>
          </w:tcPr>
          <w:p>
            <w:pPr>
              <w:spacing w:line="300" w:lineRule="exact"/>
              <w:jc w:val="center"/>
              <w:rPr>
                <w:rFonts w:ascii="仿宋" w:hAnsi="仿宋" w:eastAsia="仿宋" w:cs="仿宋_GB2312"/>
                <w:szCs w:val="21"/>
              </w:rPr>
            </w:pPr>
            <w:r>
              <w:rPr>
                <w:rFonts w:hint="eastAsia" w:ascii="仿宋" w:hAnsi="仿宋" w:eastAsia="仿宋" w:cs="仿宋_GB2312"/>
                <w:szCs w:val="21"/>
              </w:rPr>
              <w:t>2</w:t>
            </w:r>
          </w:p>
        </w:tc>
        <w:tc>
          <w:tcPr>
            <w:tcW w:w="850" w:type="dxa"/>
            <w:vMerge w:val="restart"/>
            <w:tcBorders>
              <w:top w:val="single" w:color="auto" w:sz="4" w:space="0"/>
            </w:tcBorders>
            <w:vAlign w:val="center"/>
          </w:tcPr>
          <w:p>
            <w:pPr>
              <w:spacing w:line="300" w:lineRule="exact"/>
              <w:jc w:val="left"/>
              <w:rPr>
                <w:rFonts w:ascii="仿宋" w:hAnsi="仿宋" w:eastAsia="仿宋" w:cs="仿宋_GB2312"/>
                <w:szCs w:val="21"/>
              </w:rPr>
            </w:pPr>
            <w:r>
              <w:rPr>
                <w:rFonts w:hint="eastAsia" w:ascii="仿宋" w:hAnsi="仿宋" w:eastAsia="仿宋" w:cs="仿宋_GB2312"/>
                <w:szCs w:val="21"/>
              </w:rPr>
              <w:t>县级地方志书、综合年鉴出版许可</w:t>
            </w: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tc>
        <w:tc>
          <w:tcPr>
            <w:tcW w:w="709" w:type="dxa"/>
            <w:tcBorders>
              <w:top w:val="single" w:color="auto" w:sz="4" w:space="0"/>
              <w:bottom w:val="single" w:color="auto" w:sz="4" w:space="0"/>
            </w:tcBorders>
            <w:vAlign w:val="center"/>
          </w:tcPr>
          <w:p>
            <w:pPr>
              <w:spacing w:line="300" w:lineRule="exact"/>
              <w:jc w:val="left"/>
              <w:rPr>
                <w:rFonts w:ascii="仿宋" w:hAnsi="仿宋" w:eastAsia="仿宋" w:cs="仿宋_GB2312"/>
                <w:szCs w:val="21"/>
              </w:rPr>
            </w:pPr>
            <w:r>
              <w:rPr>
                <w:rFonts w:hint="eastAsia" w:ascii="仿宋" w:hAnsi="仿宋" w:eastAsia="仿宋" w:cs="仿宋_GB2312"/>
                <w:szCs w:val="21"/>
              </w:rPr>
              <w:t>00711217940100002001</w:t>
            </w:r>
          </w:p>
          <w:p>
            <w:pPr>
              <w:spacing w:line="300" w:lineRule="exact"/>
              <w:jc w:val="left"/>
              <w:rPr>
                <w:rFonts w:ascii="仿宋" w:hAnsi="仿宋" w:eastAsia="仿宋" w:cs="仿宋_GB2312"/>
                <w:szCs w:val="21"/>
              </w:rPr>
            </w:pPr>
            <w:r>
              <w:rPr>
                <w:rFonts w:hint="eastAsia" w:ascii="仿宋" w:hAnsi="仿宋" w:eastAsia="仿宋" w:cs="仿宋_GB2312"/>
                <w:szCs w:val="21"/>
              </w:rPr>
              <w:t>440823</w:t>
            </w: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tc>
        <w:tc>
          <w:tcPr>
            <w:tcW w:w="851" w:type="dxa"/>
            <w:vAlign w:val="center"/>
          </w:tcPr>
          <w:p>
            <w:pPr>
              <w:spacing w:line="300" w:lineRule="exact"/>
              <w:jc w:val="left"/>
              <w:rPr>
                <w:rFonts w:ascii="仿宋" w:hAnsi="仿宋" w:eastAsia="仿宋" w:cs="仿宋_GB2312"/>
                <w:szCs w:val="21"/>
              </w:rPr>
            </w:pPr>
            <w:r>
              <w:rPr>
                <w:rFonts w:hint="eastAsia" w:ascii="仿宋" w:hAnsi="仿宋" w:eastAsia="仿宋" w:cs="仿宋_GB2312"/>
                <w:szCs w:val="21"/>
              </w:rPr>
              <w:t>县级地方志书出版许可</w:t>
            </w: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tc>
        <w:tc>
          <w:tcPr>
            <w:tcW w:w="3685" w:type="dxa"/>
            <w:vMerge w:val="restart"/>
            <w:vAlign w:val="center"/>
          </w:tcPr>
          <w:p>
            <w:pPr>
              <w:spacing w:line="300" w:lineRule="exact"/>
              <w:jc w:val="left"/>
              <w:rPr>
                <w:rFonts w:ascii="仿宋" w:hAnsi="仿宋" w:eastAsia="仿宋" w:cs="仿宋_GB2312"/>
                <w:sz w:val="18"/>
                <w:szCs w:val="18"/>
              </w:rPr>
            </w:pPr>
            <w:r>
              <w:rPr>
                <w:rFonts w:hint="eastAsia" w:ascii="仿宋" w:hAnsi="仿宋" w:eastAsia="仿宋" w:cs="仿宋_GB2312"/>
                <w:b/>
                <w:bCs/>
                <w:sz w:val="18"/>
                <w:szCs w:val="18"/>
              </w:rPr>
              <w:t>【行政法规】</w:t>
            </w:r>
            <w:r>
              <w:rPr>
                <w:rFonts w:hint="eastAsia" w:ascii="仿宋" w:hAnsi="仿宋" w:eastAsia="仿宋" w:cs="仿宋_GB2312"/>
                <w:sz w:val="18"/>
                <w:szCs w:val="18"/>
              </w:rPr>
              <w:t>《地方志工作条例》（2006年国务院令第467号）</w:t>
            </w:r>
          </w:p>
          <w:p>
            <w:pPr>
              <w:spacing w:line="300" w:lineRule="exact"/>
              <w:jc w:val="left"/>
              <w:rPr>
                <w:rFonts w:ascii="仿宋" w:hAnsi="仿宋" w:eastAsia="仿宋" w:cs="仿宋_GB2312"/>
                <w:sz w:val="18"/>
                <w:szCs w:val="18"/>
              </w:rPr>
            </w:pPr>
            <w:r>
              <w:rPr>
                <w:rFonts w:hint="eastAsia" w:ascii="仿宋" w:hAnsi="仿宋" w:eastAsia="仿宋" w:cs="仿宋_GB2312"/>
                <w:sz w:val="18"/>
                <w:szCs w:val="18"/>
              </w:rPr>
              <w:t>　　第十二条　以县级以上行政区域名称冠名、列入规划的地方志经书审查验收，方可以公开出版。对地方志书进行审查验收，应当组织有关保密、档案、历史、法律、经济、军事等方面的专家参加，重点审查地方志书的内容是否符合宪法和保密、档案等法律、法规的规定，是否全面、客观地反映本行政区域自然、政治、经济、文化和社会的历史与现状。对地方志书进行审查验收的主体、程序等由省、自治区、直辖市人民政府规定。　</w:t>
            </w:r>
          </w:p>
          <w:p>
            <w:pPr>
              <w:spacing w:line="300" w:lineRule="exact"/>
              <w:jc w:val="left"/>
              <w:rPr>
                <w:rFonts w:ascii="仿宋" w:hAnsi="仿宋" w:eastAsia="仿宋" w:cs="仿宋_GB2312"/>
                <w:sz w:val="18"/>
                <w:szCs w:val="18"/>
              </w:rPr>
            </w:pPr>
            <w:r>
              <w:rPr>
                <w:rFonts w:hint="eastAsia" w:ascii="仿宋" w:hAnsi="仿宋" w:eastAsia="仿宋" w:cs="仿宋_GB2312"/>
                <w:sz w:val="18"/>
                <w:szCs w:val="18"/>
              </w:rPr>
              <w:t>　　第十三条　以县级以上行政区域名称冠名的地方综合年鉴，</w:t>
            </w:r>
            <w:r>
              <w:rPr>
                <w:rFonts w:hint="eastAsia" w:ascii="仿宋" w:hAnsi="仿宋" w:eastAsia="仿宋" w:cs="仿宋_GB2312"/>
                <w:bCs/>
                <w:sz w:val="18"/>
                <w:szCs w:val="18"/>
              </w:rPr>
              <w:t>经</w:t>
            </w:r>
            <w:r>
              <w:rPr>
                <w:rFonts w:hint="eastAsia" w:ascii="仿宋" w:hAnsi="仿宋" w:eastAsia="仿宋" w:cs="仿宋_GB2312"/>
                <w:b/>
                <w:bCs/>
                <w:sz w:val="18"/>
                <w:szCs w:val="18"/>
              </w:rPr>
              <w:t>本级人民政府或者其确定的部门</w:t>
            </w:r>
            <w:r>
              <w:rPr>
                <w:rFonts w:hint="eastAsia" w:ascii="仿宋" w:hAnsi="仿宋" w:eastAsia="仿宋" w:cs="仿宋_GB2312"/>
                <w:sz w:val="18"/>
                <w:szCs w:val="18"/>
              </w:rPr>
              <w:t>批准，方可以公开出版。</w:t>
            </w:r>
          </w:p>
          <w:p>
            <w:pPr>
              <w:spacing w:line="300" w:lineRule="exact"/>
              <w:ind w:firstLine="345"/>
              <w:jc w:val="left"/>
              <w:rPr>
                <w:rFonts w:ascii="仿宋" w:hAnsi="仿宋" w:eastAsia="仿宋" w:cs="仿宋_GB2312"/>
                <w:sz w:val="18"/>
                <w:szCs w:val="18"/>
              </w:rPr>
            </w:pPr>
            <w:r>
              <w:rPr>
                <w:rFonts w:hint="eastAsia" w:ascii="仿宋" w:hAnsi="仿宋" w:eastAsia="仿宋" w:cs="仿宋_GB2312"/>
                <w:sz w:val="18"/>
                <w:szCs w:val="18"/>
              </w:rPr>
              <w:t>第十四条　地方志应当在出版后3个月内报送上级人民政府负责地方志工作的机构备案。在地方志编纂过程中收集到的文字资料、图表、照片、音像资料、实物等以及形成的地方志文稿，由</w:t>
            </w:r>
            <w:r>
              <w:rPr>
                <w:rFonts w:hint="eastAsia" w:ascii="仿宋" w:hAnsi="仿宋" w:eastAsia="仿宋" w:cs="仿宋_GB2312"/>
                <w:b/>
                <w:bCs/>
                <w:sz w:val="18"/>
                <w:szCs w:val="18"/>
              </w:rPr>
              <w:t>本级人民政府负责地方志工作的机构</w:t>
            </w:r>
            <w:r>
              <w:rPr>
                <w:rFonts w:hint="eastAsia" w:ascii="仿宋" w:hAnsi="仿宋" w:eastAsia="仿宋" w:cs="仿宋_GB2312"/>
                <w:sz w:val="18"/>
                <w:szCs w:val="18"/>
              </w:rPr>
              <w:t>指定专职人员集中统一管理，妥善保存，不得损毁；修志工作完成后，应当依法移交本级国家档案馆或者方志馆保存、管理，个人不得据为已有或者出租、出让、转借。</w:t>
            </w:r>
          </w:p>
          <w:p>
            <w:pPr>
              <w:spacing w:line="300" w:lineRule="exact"/>
              <w:ind w:firstLine="345"/>
              <w:jc w:val="left"/>
              <w:rPr>
                <w:rFonts w:ascii="仿宋" w:hAnsi="仿宋" w:eastAsia="仿宋" w:cs="仿宋_GB2312"/>
                <w:sz w:val="18"/>
                <w:szCs w:val="18"/>
              </w:rPr>
            </w:pPr>
          </w:p>
        </w:tc>
        <w:tc>
          <w:tcPr>
            <w:tcW w:w="851" w:type="dxa"/>
            <w:vAlign w:val="center"/>
          </w:tcPr>
          <w:p>
            <w:pPr>
              <w:spacing w:line="300" w:lineRule="exact"/>
              <w:jc w:val="left"/>
              <w:rPr>
                <w:rFonts w:ascii="仿宋" w:hAnsi="仿宋" w:eastAsia="仿宋" w:cs="仿宋_GB2312"/>
                <w:szCs w:val="21"/>
              </w:rPr>
            </w:pPr>
            <w:r>
              <w:rPr>
                <w:rFonts w:hint="eastAsia" w:ascii="仿宋" w:hAnsi="仿宋" w:eastAsia="仿宋" w:cs="仿宋_GB2312"/>
                <w:szCs w:val="21"/>
              </w:rPr>
              <w:t>《遂溪县志》编修单位</w:t>
            </w: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tc>
        <w:tc>
          <w:tcPr>
            <w:tcW w:w="850" w:type="dxa"/>
            <w:vMerge w:val="restart"/>
            <w:vAlign w:val="center"/>
          </w:tcPr>
          <w:p>
            <w:pPr>
              <w:spacing w:line="300" w:lineRule="exact"/>
              <w:jc w:val="center"/>
              <w:rPr>
                <w:rFonts w:ascii="仿宋" w:hAnsi="仿宋" w:eastAsia="仿宋" w:cs="仿宋_GB2312"/>
                <w:szCs w:val="21"/>
              </w:rPr>
            </w:pPr>
            <w:r>
              <w:rPr>
                <w:rFonts w:hint="eastAsia" w:ascii="仿宋" w:hAnsi="仿宋" w:eastAsia="仿宋" w:cs="仿宋_GB2312"/>
                <w:szCs w:val="21"/>
              </w:rPr>
              <w:t>无</w:t>
            </w:r>
          </w:p>
          <w:p>
            <w:pPr>
              <w:spacing w:line="260" w:lineRule="exact"/>
              <w:rPr>
                <w:rFonts w:ascii="仿宋" w:hAnsi="仿宋" w:eastAsia="仿宋" w:cs="仿宋_GB2312"/>
                <w:szCs w:val="21"/>
              </w:rPr>
            </w:pPr>
          </w:p>
        </w:tc>
        <w:tc>
          <w:tcPr>
            <w:tcW w:w="3402" w:type="dxa"/>
            <w:vMerge w:val="restart"/>
            <w:vAlign w:val="center"/>
          </w:tcPr>
          <w:p>
            <w:pPr>
              <w:numPr>
                <w:ilvl w:val="0"/>
                <w:numId w:val="2"/>
              </w:numPr>
              <w:spacing w:line="300" w:lineRule="exact"/>
              <w:jc w:val="left"/>
              <w:rPr>
                <w:rFonts w:ascii="仿宋" w:hAnsi="仿宋" w:eastAsia="仿宋" w:cs="仿宋_GB2312"/>
                <w:szCs w:val="21"/>
              </w:rPr>
            </w:pPr>
            <w:r>
              <w:rPr>
                <w:rFonts w:hint="eastAsia" w:ascii="仿宋" w:hAnsi="仿宋" w:eastAsia="仿宋" w:cs="仿宋_GB2312"/>
                <w:b/>
                <w:bCs/>
                <w:szCs w:val="21"/>
              </w:rPr>
              <w:t>受理前责任：</w:t>
            </w:r>
            <w:r>
              <w:rPr>
                <w:rFonts w:hint="eastAsia" w:ascii="仿宋" w:hAnsi="仿宋" w:eastAsia="仿宋" w:cs="仿宋_GB2312"/>
                <w:szCs w:val="21"/>
              </w:rPr>
              <w:t xml:space="preserve">依法编制并公布办事指南，业务手册，明确办理流程、时限，做好宣传引导和咨询服务。                            </w:t>
            </w:r>
            <w:r>
              <w:rPr>
                <w:rFonts w:hint="eastAsia" w:ascii="仿宋" w:hAnsi="仿宋" w:eastAsia="仿宋" w:cs="仿宋_GB2312"/>
                <w:b/>
                <w:bCs/>
                <w:szCs w:val="21"/>
              </w:rPr>
              <w:t>2．受理责任：</w:t>
            </w:r>
            <w:r>
              <w:rPr>
                <w:rFonts w:hint="eastAsia" w:ascii="仿宋" w:hAnsi="仿宋" w:eastAsia="仿宋" w:cs="仿宋_GB2312"/>
                <w:szCs w:val="21"/>
              </w:rPr>
              <w:t xml:space="preserve">依法受理或不予受理，不予受理告知理由，并一次性告知补正材料。                                            </w:t>
            </w:r>
            <w:r>
              <w:rPr>
                <w:rFonts w:hint="eastAsia" w:ascii="仿宋" w:hAnsi="仿宋" w:eastAsia="仿宋" w:cs="仿宋_GB2312"/>
                <w:b/>
                <w:bCs/>
                <w:szCs w:val="21"/>
              </w:rPr>
              <w:t>3．审查责任：</w:t>
            </w:r>
            <w:r>
              <w:rPr>
                <w:rFonts w:hint="eastAsia" w:ascii="仿宋" w:hAnsi="仿宋" w:eastAsia="仿宋" w:cs="仿宋_GB2312"/>
                <w:szCs w:val="21"/>
              </w:rPr>
              <w:t xml:space="preserve">在法定和承诺时限内，对承修单位提交的材料进行审查。                                                        </w:t>
            </w:r>
            <w:r>
              <w:rPr>
                <w:rFonts w:hint="eastAsia" w:ascii="仿宋" w:hAnsi="仿宋" w:eastAsia="仿宋" w:cs="仿宋_GB2312"/>
                <w:b/>
                <w:bCs/>
                <w:szCs w:val="21"/>
              </w:rPr>
              <w:t>4．决定责任：</w:t>
            </w:r>
            <w:r>
              <w:rPr>
                <w:rFonts w:hint="eastAsia" w:ascii="仿宋" w:hAnsi="仿宋" w:eastAsia="仿宋" w:cs="仿宋_GB2312"/>
                <w:szCs w:val="21"/>
              </w:rPr>
              <w:t>作出行政许可或不予许可决定，并按程序告知。</w:t>
            </w:r>
          </w:p>
          <w:p>
            <w:pPr>
              <w:numPr>
                <w:ilvl w:val="0"/>
                <w:numId w:val="3"/>
              </w:numPr>
              <w:spacing w:line="300" w:lineRule="exact"/>
              <w:jc w:val="left"/>
              <w:rPr>
                <w:rFonts w:ascii="仿宋" w:hAnsi="仿宋" w:eastAsia="仿宋" w:cs="仿宋_GB2312"/>
                <w:szCs w:val="21"/>
              </w:rPr>
            </w:pPr>
            <w:r>
              <w:rPr>
                <w:rFonts w:hint="eastAsia" w:ascii="仿宋" w:hAnsi="仿宋" w:eastAsia="仿宋" w:cs="仿宋_GB2312"/>
                <w:b/>
                <w:bCs/>
                <w:szCs w:val="21"/>
              </w:rPr>
              <w:t>送达责任：</w:t>
            </w:r>
            <w:r>
              <w:rPr>
                <w:rFonts w:hint="eastAsia" w:ascii="仿宋" w:hAnsi="仿宋" w:eastAsia="仿宋" w:cs="仿宋_GB2312"/>
                <w:szCs w:val="21"/>
              </w:rPr>
              <w:t xml:space="preserve">对条件符合规定要求的单位，书面通知并纸质送达，对不符合条件的，书面通知承修单位并说明理由。      </w:t>
            </w:r>
          </w:p>
          <w:p>
            <w:pPr>
              <w:spacing w:line="300" w:lineRule="exact"/>
              <w:jc w:val="left"/>
              <w:rPr>
                <w:rFonts w:ascii="仿宋" w:hAnsi="仿宋" w:eastAsia="仿宋" w:cs="仿宋_GB2312"/>
                <w:szCs w:val="21"/>
              </w:rPr>
            </w:pPr>
            <w:r>
              <w:rPr>
                <w:rFonts w:hint="eastAsia" w:ascii="仿宋" w:hAnsi="仿宋" w:eastAsia="仿宋" w:cs="仿宋_GB2312"/>
                <w:b/>
                <w:bCs/>
                <w:szCs w:val="21"/>
              </w:rPr>
              <w:t>6．其它责任：</w:t>
            </w:r>
            <w:r>
              <w:rPr>
                <w:rFonts w:hint="eastAsia" w:ascii="仿宋" w:hAnsi="仿宋" w:eastAsia="仿宋" w:cs="仿宋_GB2312"/>
                <w:szCs w:val="21"/>
              </w:rPr>
              <w:t>法律法规规章规定应履行的责任。</w:t>
            </w: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p>
            <w:pPr>
              <w:spacing w:line="300" w:lineRule="exact"/>
              <w:jc w:val="left"/>
              <w:rPr>
                <w:rFonts w:ascii="仿宋" w:hAnsi="仿宋" w:eastAsia="仿宋" w:cs="仿宋_GB2312"/>
                <w:szCs w:val="21"/>
              </w:rPr>
            </w:pPr>
          </w:p>
        </w:tc>
        <w:tc>
          <w:tcPr>
            <w:tcW w:w="1276" w:type="dxa"/>
            <w:vMerge w:val="restart"/>
            <w:vAlign w:val="center"/>
          </w:tcPr>
          <w:p>
            <w:pPr>
              <w:spacing w:line="380" w:lineRule="exact"/>
              <w:jc w:val="left"/>
              <w:rPr>
                <w:rFonts w:ascii="仿宋" w:hAnsi="仿宋" w:eastAsia="仿宋" w:cs="仿宋_GB2312"/>
                <w:szCs w:val="21"/>
              </w:rPr>
            </w:pPr>
            <w:r>
              <w:rPr>
                <w:rFonts w:hint="eastAsia" w:ascii="仿宋" w:hAnsi="仿宋" w:eastAsia="仿宋" w:cs="仿宋_GB2312"/>
                <w:b/>
                <w:bCs/>
                <w:szCs w:val="21"/>
              </w:rPr>
              <w:t>问责依据：</w:t>
            </w:r>
            <w:r>
              <w:rPr>
                <w:rFonts w:hint="eastAsia" w:ascii="仿宋" w:hAnsi="仿宋" w:eastAsia="仿宋" w:cs="仿宋_GB2312"/>
                <w:szCs w:val="21"/>
              </w:rPr>
              <w:t>《地方志工作条例》（2006年国务院令第467号）第十二条、第十三条、第十四条。</w:t>
            </w:r>
          </w:p>
          <w:p>
            <w:pPr>
              <w:spacing w:line="380" w:lineRule="exact"/>
              <w:jc w:val="left"/>
              <w:rPr>
                <w:rFonts w:ascii="仿宋" w:hAnsi="仿宋" w:eastAsia="仿宋" w:cs="仿宋_GB2312"/>
                <w:szCs w:val="21"/>
              </w:rPr>
            </w:pPr>
            <w:r>
              <w:rPr>
                <w:rFonts w:hint="eastAsia" w:ascii="仿宋" w:hAnsi="仿宋" w:eastAsia="仿宋" w:cs="仿宋_GB2312"/>
                <w:b/>
                <w:bCs/>
                <w:szCs w:val="21"/>
              </w:rPr>
              <w:t>监督方式：</w:t>
            </w:r>
            <w:r>
              <w:rPr>
                <w:rFonts w:hint="eastAsia" w:ascii="仿宋" w:hAnsi="仿宋" w:eastAsia="仿宋" w:cs="仿宋_GB2312"/>
                <w:szCs w:val="21"/>
              </w:rPr>
              <w:t>0759－7780598</w:t>
            </w:r>
          </w:p>
          <w:p>
            <w:pPr>
              <w:spacing w:line="300" w:lineRule="exact"/>
              <w:jc w:val="left"/>
              <w:rPr>
                <w:rFonts w:ascii="仿宋" w:hAnsi="仿宋" w:eastAsia="仿宋" w:cs="仿宋_GB2312"/>
                <w:szCs w:val="21"/>
              </w:rPr>
            </w:pPr>
          </w:p>
        </w:tc>
        <w:tc>
          <w:tcPr>
            <w:tcW w:w="732" w:type="dxa"/>
            <w:vMerge w:val="restart"/>
            <w:vAlign w:val="center"/>
          </w:tcPr>
          <w:p>
            <w:pPr>
              <w:spacing w:line="300" w:lineRule="exact"/>
              <w:jc w:val="left"/>
              <w:rPr>
                <w:rFonts w:ascii="仿宋_GB2312" w:hAnsi="仿宋_GB2312" w:eastAsia="仿宋_GB2312" w:cs="仿宋_GB2312"/>
                <w:szCs w:val="21"/>
              </w:rPr>
            </w:pPr>
          </w:p>
        </w:tc>
        <w:tc>
          <w:tcPr>
            <w:tcW w:w="576" w:type="dxa"/>
            <w:vMerge w:val="restart"/>
            <w:vAlign w:val="center"/>
          </w:tcPr>
          <w:p>
            <w:pPr>
              <w:spacing w:line="300"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trPr>
        <w:tc>
          <w:tcPr>
            <w:tcW w:w="392" w:type="dxa"/>
            <w:vMerge w:val="continue"/>
            <w:vAlign w:val="center"/>
          </w:tcPr>
          <w:p>
            <w:pPr>
              <w:spacing w:line="540" w:lineRule="exact"/>
              <w:jc w:val="center"/>
              <w:rPr>
                <w:rFonts w:ascii="仿宋_GB2312" w:hAnsi="仿宋_GB2312" w:eastAsia="仿宋_GB2312" w:cs="仿宋_GB2312"/>
                <w:sz w:val="32"/>
                <w:szCs w:val="32"/>
              </w:rPr>
            </w:pPr>
          </w:p>
        </w:tc>
        <w:tc>
          <w:tcPr>
            <w:tcW w:w="850" w:type="dxa"/>
            <w:vMerge w:val="continue"/>
            <w:vAlign w:val="center"/>
          </w:tcPr>
          <w:p>
            <w:pPr>
              <w:spacing w:line="540" w:lineRule="exact"/>
              <w:jc w:val="center"/>
              <w:rPr>
                <w:rFonts w:ascii="仿宋_GB2312" w:hAnsi="仿宋_GB2312" w:eastAsia="仿宋_GB2312" w:cs="仿宋_GB2312"/>
                <w:sz w:val="18"/>
                <w:szCs w:val="18"/>
              </w:rPr>
            </w:pPr>
          </w:p>
        </w:tc>
        <w:tc>
          <w:tcPr>
            <w:tcW w:w="709" w:type="dxa"/>
            <w:tcBorders>
              <w:top w:val="single" w:color="auto" w:sz="4" w:space="0"/>
            </w:tcBorders>
            <w:vAlign w:val="center"/>
          </w:tcPr>
          <w:p>
            <w:pPr>
              <w:spacing w:line="300" w:lineRule="exact"/>
              <w:jc w:val="left"/>
              <w:rPr>
                <w:rFonts w:ascii="仿宋" w:hAnsi="仿宋" w:eastAsia="仿宋" w:cs="仿宋_GB2312"/>
                <w:szCs w:val="21"/>
              </w:rPr>
            </w:pPr>
            <w:r>
              <w:rPr>
                <w:rFonts w:hint="eastAsia" w:ascii="仿宋" w:hAnsi="仿宋" w:eastAsia="仿宋" w:cs="仿宋_GB2312"/>
                <w:szCs w:val="21"/>
              </w:rPr>
              <w:t>00711217940100002002440823</w:t>
            </w:r>
          </w:p>
          <w:p>
            <w:pPr>
              <w:spacing w:line="540" w:lineRule="exact"/>
              <w:jc w:val="left"/>
              <w:rPr>
                <w:rFonts w:ascii="仿宋" w:hAnsi="仿宋" w:eastAsia="仿宋" w:cs="仿宋_GB2312"/>
                <w:sz w:val="18"/>
                <w:szCs w:val="18"/>
              </w:rPr>
            </w:pPr>
          </w:p>
        </w:tc>
        <w:tc>
          <w:tcPr>
            <w:tcW w:w="851" w:type="dxa"/>
            <w:vAlign w:val="center"/>
          </w:tcPr>
          <w:p>
            <w:pPr>
              <w:spacing w:line="260" w:lineRule="exact"/>
              <w:jc w:val="left"/>
              <w:rPr>
                <w:rFonts w:ascii="仿宋" w:hAnsi="仿宋" w:eastAsia="仿宋" w:cs="仿宋_GB2312"/>
                <w:szCs w:val="21"/>
              </w:rPr>
            </w:pPr>
            <w:r>
              <w:rPr>
                <w:rFonts w:hint="eastAsia" w:ascii="仿宋" w:hAnsi="仿宋" w:eastAsia="仿宋" w:cs="仿宋_GB2312"/>
                <w:szCs w:val="21"/>
              </w:rPr>
              <w:t>县级综合年鉴出版许可</w:t>
            </w:r>
          </w:p>
          <w:p>
            <w:pPr>
              <w:spacing w:line="540" w:lineRule="exact"/>
              <w:jc w:val="center"/>
              <w:rPr>
                <w:rFonts w:ascii="仿宋" w:hAnsi="仿宋" w:eastAsia="仿宋" w:cs="仿宋_GB2312"/>
                <w:sz w:val="18"/>
                <w:szCs w:val="18"/>
              </w:rPr>
            </w:pPr>
          </w:p>
        </w:tc>
        <w:tc>
          <w:tcPr>
            <w:tcW w:w="3685" w:type="dxa"/>
            <w:vMerge w:val="continue"/>
            <w:vAlign w:val="center"/>
          </w:tcPr>
          <w:p>
            <w:pPr>
              <w:spacing w:line="540" w:lineRule="exact"/>
              <w:jc w:val="center"/>
              <w:rPr>
                <w:rFonts w:ascii="仿宋_GB2312" w:hAnsi="仿宋_GB2312" w:eastAsia="仿宋_GB2312" w:cs="仿宋_GB2312"/>
                <w:sz w:val="18"/>
                <w:szCs w:val="18"/>
              </w:rPr>
            </w:pPr>
          </w:p>
        </w:tc>
        <w:tc>
          <w:tcPr>
            <w:tcW w:w="851" w:type="dxa"/>
            <w:vAlign w:val="center"/>
          </w:tcPr>
          <w:p>
            <w:pPr>
              <w:spacing w:line="260" w:lineRule="exact"/>
              <w:jc w:val="left"/>
              <w:rPr>
                <w:rFonts w:ascii="仿宋" w:hAnsi="仿宋" w:eastAsia="仿宋" w:cs="仿宋_GB2312"/>
                <w:szCs w:val="21"/>
              </w:rPr>
            </w:pPr>
            <w:r>
              <w:rPr>
                <w:rFonts w:hint="eastAsia" w:ascii="仿宋" w:hAnsi="仿宋" w:eastAsia="仿宋" w:cs="仿宋_GB2312"/>
                <w:szCs w:val="21"/>
              </w:rPr>
              <w:t>《遂溪年鉴》编修单位</w:t>
            </w:r>
          </w:p>
          <w:p>
            <w:pPr>
              <w:spacing w:line="260" w:lineRule="exact"/>
              <w:jc w:val="center"/>
              <w:rPr>
                <w:rFonts w:ascii="仿宋" w:hAnsi="仿宋" w:eastAsia="仿宋" w:cs="仿宋_GB2312"/>
                <w:sz w:val="18"/>
                <w:szCs w:val="18"/>
              </w:rPr>
            </w:pPr>
          </w:p>
        </w:tc>
        <w:tc>
          <w:tcPr>
            <w:tcW w:w="850" w:type="dxa"/>
            <w:vMerge w:val="continue"/>
            <w:vAlign w:val="center"/>
          </w:tcPr>
          <w:p>
            <w:pPr>
              <w:spacing w:line="260" w:lineRule="exact"/>
              <w:jc w:val="center"/>
              <w:rPr>
                <w:rFonts w:ascii="仿宋_GB2312" w:hAnsi="仿宋_GB2312" w:eastAsia="仿宋_GB2312" w:cs="仿宋_GB2312"/>
                <w:sz w:val="18"/>
                <w:szCs w:val="18"/>
              </w:rPr>
            </w:pPr>
          </w:p>
        </w:tc>
        <w:tc>
          <w:tcPr>
            <w:tcW w:w="3402" w:type="dxa"/>
            <w:vMerge w:val="continue"/>
            <w:vAlign w:val="center"/>
          </w:tcPr>
          <w:p>
            <w:pPr>
              <w:spacing w:line="260" w:lineRule="exact"/>
              <w:jc w:val="center"/>
              <w:rPr>
                <w:rFonts w:ascii="仿宋_GB2312" w:hAnsi="仿宋_GB2312" w:eastAsia="仿宋_GB2312" w:cs="仿宋_GB2312"/>
                <w:sz w:val="18"/>
                <w:szCs w:val="18"/>
              </w:rPr>
            </w:pPr>
          </w:p>
        </w:tc>
        <w:tc>
          <w:tcPr>
            <w:tcW w:w="1276" w:type="dxa"/>
            <w:vMerge w:val="continue"/>
            <w:vAlign w:val="center"/>
          </w:tcPr>
          <w:p>
            <w:pPr>
              <w:spacing w:line="260" w:lineRule="exact"/>
              <w:jc w:val="left"/>
              <w:rPr>
                <w:rFonts w:ascii="仿宋_GB2312" w:hAnsi="仿宋_GB2312" w:eastAsia="仿宋_GB2312" w:cs="仿宋_GB2312"/>
                <w:sz w:val="18"/>
                <w:szCs w:val="18"/>
              </w:rPr>
            </w:pPr>
          </w:p>
        </w:tc>
        <w:tc>
          <w:tcPr>
            <w:tcW w:w="732" w:type="dxa"/>
            <w:vMerge w:val="continue"/>
            <w:vAlign w:val="center"/>
          </w:tcPr>
          <w:p>
            <w:pPr>
              <w:spacing w:line="260" w:lineRule="exact"/>
              <w:jc w:val="left"/>
              <w:rPr>
                <w:rFonts w:ascii="仿宋_GB2312" w:hAnsi="仿宋_GB2312" w:eastAsia="仿宋_GB2312" w:cs="仿宋_GB2312"/>
                <w:sz w:val="18"/>
                <w:szCs w:val="18"/>
              </w:rPr>
            </w:pPr>
          </w:p>
        </w:tc>
        <w:tc>
          <w:tcPr>
            <w:tcW w:w="576" w:type="dxa"/>
            <w:vMerge w:val="continue"/>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表二（行政处罚）1项</w:t>
      </w:r>
    </w:p>
    <w:tbl>
      <w:tblPr>
        <w:tblStyle w:val="5"/>
        <w:tblW w:w="14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029"/>
        <w:gridCol w:w="2171"/>
        <w:gridCol w:w="1650"/>
        <w:gridCol w:w="2950"/>
        <w:gridCol w:w="2106"/>
        <w:gridCol w:w="1219"/>
        <w:gridCol w:w="95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5" w:hRule="atLeast"/>
        </w:trPr>
        <w:tc>
          <w:tcPr>
            <w:tcW w:w="79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02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217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可予处罚的违法行为</w:t>
            </w:r>
          </w:p>
        </w:tc>
        <w:tc>
          <w:tcPr>
            <w:tcW w:w="165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处罚种类</w:t>
            </w:r>
          </w:p>
        </w:tc>
        <w:tc>
          <w:tcPr>
            <w:tcW w:w="295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10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21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5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130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029" w:type="dxa"/>
            <w:vAlign w:val="center"/>
          </w:tcPr>
          <w:p>
            <w:pPr>
              <w:jc w:val="left"/>
              <w:rPr>
                <w:rFonts w:ascii="仿宋" w:hAnsi="仿宋" w:eastAsia="仿宋" w:cs="仿宋"/>
                <w:szCs w:val="21"/>
              </w:rPr>
            </w:pPr>
            <w:r>
              <w:rPr>
                <w:rFonts w:hint="eastAsia" w:ascii="仿宋" w:hAnsi="仿宋" w:eastAsia="仿宋" w:cs="仿宋"/>
                <w:szCs w:val="21"/>
              </w:rPr>
              <w:t>00711217940200001000440823</w:t>
            </w:r>
          </w:p>
          <w:p>
            <w:pPr>
              <w:jc w:val="center"/>
              <w:rPr>
                <w:rFonts w:ascii="仿宋" w:hAnsi="仿宋" w:eastAsia="仿宋" w:cs="仿宋"/>
                <w:szCs w:val="21"/>
              </w:rPr>
            </w:pPr>
          </w:p>
        </w:tc>
        <w:tc>
          <w:tcPr>
            <w:tcW w:w="2171" w:type="dxa"/>
            <w:vAlign w:val="center"/>
          </w:tcPr>
          <w:p>
            <w:pPr>
              <w:jc w:val="left"/>
              <w:rPr>
                <w:rFonts w:ascii="仿宋" w:hAnsi="仿宋" w:eastAsia="仿宋" w:cs="仿宋"/>
                <w:szCs w:val="21"/>
              </w:rPr>
            </w:pPr>
            <w:r>
              <w:rPr>
                <w:rFonts w:hint="eastAsia" w:ascii="仿宋" w:hAnsi="仿宋" w:eastAsia="仿宋" w:cs="仿宋"/>
                <w:szCs w:val="21"/>
              </w:rPr>
              <w:t>违规、违法出版地方志书或综合年鉴</w:t>
            </w:r>
          </w:p>
          <w:p>
            <w:pPr>
              <w:jc w:val="center"/>
              <w:rPr>
                <w:rFonts w:ascii="仿宋" w:hAnsi="仿宋" w:eastAsia="仿宋" w:cs="仿宋"/>
                <w:szCs w:val="21"/>
              </w:rPr>
            </w:pPr>
          </w:p>
        </w:tc>
        <w:tc>
          <w:tcPr>
            <w:tcW w:w="1650" w:type="dxa"/>
            <w:vAlign w:val="center"/>
          </w:tcPr>
          <w:p>
            <w:pPr>
              <w:jc w:val="left"/>
              <w:rPr>
                <w:rFonts w:ascii="仿宋" w:hAnsi="仿宋" w:eastAsia="仿宋" w:cs="仿宋"/>
                <w:szCs w:val="21"/>
              </w:rPr>
            </w:pPr>
            <w:r>
              <w:rPr>
                <w:rFonts w:hint="eastAsia" w:ascii="仿宋" w:hAnsi="仿宋" w:eastAsia="仿宋" w:cs="仿宋"/>
                <w:szCs w:val="21"/>
              </w:rPr>
              <w:t>采取相应措施予以纠正，并视情节追究有关单位和个人的责任；构成犯罪的，依法追究刑事责任。</w:t>
            </w:r>
          </w:p>
          <w:p>
            <w:pPr>
              <w:jc w:val="center"/>
              <w:rPr>
                <w:rFonts w:ascii="仿宋" w:hAnsi="仿宋" w:eastAsia="仿宋" w:cs="仿宋"/>
                <w:szCs w:val="21"/>
              </w:rPr>
            </w:pPr>
          </w:p>
        </w:tc>
        <w:tc>
          <w:tcPr>
            <w:tcW w:w="2950" w:type="dxa"/>
            <w:vAlign w:val="center"/>
          </w:tcPr>
          <w:p>
            <w:pPr>
              <w:widowControl/>
              <w:jc w:val="left"/>
              <w:textAlignment w:val="center"/>
              <w:rPr>
                <w:rStyle w:val="8"/>
                <w:rFonts w:hint="default" w:ascii="仿宋" w:hAnsi="仿宋" w:eastAsia="仿宋" w:cs="仿宋"/>
                <w:sz w:val="21"/>
                <w:szCs w:val="21"/>
              </w:rPr>
            </w:pPr>
            <w:r>
              <w:rPr>
                <w:rFonts w:hint="eastAsia" w:ascii="仿宋" w:hAnsi="仿宋" w:eastAsia="仿宋" w:cs="仿宋"/>
                <w:b/>
                <w:color w:val="000000"/>
                <w:kern w:val="0"/>
                <w:szCs w:val="21"/>
              </w:rPr>
              <w:t>【行政法规】</w:t>
            </w:r>
            <w:r>
              <w:rPr>
                <w:rStyle w:val="8"/>
                <w:rFonts w:hint="default" w:ascii="仿宋" w:hAnsi="仿宋" w:eastAsia="仿宋" w:cs="仿宋"/>
                <w:sz w:val="21"/>
                <w:szCs w:val="21"/>
              </w:rPr>
              <w:t xml:space="preserve">《地方志工作条例》（2006年国务院令第467号）                                                                                                                                       </w:t>
            </w:r>
            <w:r>
              <w:rPr>
                <w:rStyle w:val="8"/>
                <w:rFonts w:hint="default" w:ascii="仿宋" w:hAnsi="仿宋" w:eastAsia="仿宋" w:cs="仿宋"/>
                <w:sz w:val="21"/>
                <w:szCs w:val="21"/>
              </w:rPr>
              <w:br w:type="textWrapping"/>
            </w:r>
            <w:r>
              <w:rPr>
                <w:rStyle w:val="8"/>
                <w:rFonts w:hint="default" w:ascii="仿宋" w:hAnsi="仿宋" w:eastAsia="仿宋" w:cs="仿宋"/>
                <w:sz w:val="21"/>
                <w:szCs w:val="21"/>
              </w:rPr>
              <w:t xml:space="preserve">    第十八条 违反本条例规定，擅自编纂出版以县级以上行政区域名称冠名的地方志书、地方综合年鉴的，由</w:t>
            </w:r>
            <w:r>
              <w:rPr>
                <w:rStyle w:val="9"/>
                <w:rFonts w:hint="default" w:ascii="仿宋" w:hAnsi="仿宋" w:eastAsia="仿宋" w:cs="仿宋"/>
                <w:sz w:val="21"/>
                <w:szCs w:val="21"/>
              </w:rPr>
              <w:t>县级以上地方人民政府负责地方志工作的机构</w:t>
            </w:r>
            <w:r>
              <w:rPr>
                <w:rStyle w:val="8"/>
                <w:rFonts w:hint="default" w:ascii="仿宋" w:hAnsi="仿宋" w:eastAsia="仿宋" w:cs="仿宋"/>
                <w:sz w:val="21"/>
                <w:szCs w:val="21"/>
              </w:rPr>
              <w:t>提请本级人民政府出版行政部门依法查处。</w:t>
            </w:r>
            <w:r>
              <w:rPr>
                <w:rStyle w:val="8"/>
                <w:rFonts w:hint="default" w:ascii="仿宋" w:hAnsi="仿宋" w:eastAsia="仿宋" w:cs="仿宋"/>
                <w:sz w:val="21"/>
                <w:szCs w:val="21"/>
              </w:rPr>
              <w:br w:type="textWrapping"/>
            </w:r>
            <w:r>
              <w:rPr>
                <w:rStyle w:val="8"/>
                <w:rFonts w:hint="default" w:ascii="仿宋" w:hAnsi="仿宋" w:eastAsia="仿宋" w:cs="仿宋"/>
                <w:sz w:val="21"/>
                <w:szCs w:val="21"/>
              </w:rPr>
              <w:t>　　第十九条 违反本条例规定，未经审查验收、批准将地方志文稿交付出版，或者地方志存在违反宪法、法律、法规规定内容的，由上级人民政府或者本级人民政府责令采取相应措施予以纠正，并视情节追究有关单位和个人的责任；构成犯罪的，依法追究刑事责任。</w:t>
            </w:r>
          </w:p>
          <w:p>
            <w:pPr>
              <w:widowControl/>
              <w:jc w:val="left"/>
              <w:textAlignment w:val="center"/>
              <w:rPr>
                <w:rStyle w:val="8"/>
                <w:rFonts w:hint="default" w:ascii="仿宋" w:hAnsi="仿宋" w:eastAsia="仿宋" w:cs="仿宋"/>
                <w:sz w:val="21"/>
                <w:szCs w:val="21"/>
              </w:rPr>
            </w:pPr>
          </w:p>
        </w:tc>
        <w:tc>
          <w:tcPr>
            <w:tcW w:w="2106" w:type="dxa"/>
            <w:vAlign w:val="center"/>
          </w:tcPr>
          <w:p>
            <w:pPr>
              <w:widowControl/>
              <w:jc w:val="left"/>
              <w:textAlignment w:val="center"/>
              <w:rPr>
                <w:rFonts w:ascii="仿宋" w:hAnsi="仿宋" w:eastAsia="仿宋" w:cs="仿宋"/>
                <w:szCs w:val="21"/>
              </w:rPr>
            </w:pPr>
            <w:r>
              <w:rPr>
                <w:rFonts w:hint="eastAsia" w:ascii="仿宋" w:hAnsi="仿宋" w:eastAsia="仿宋" w:cs="仿宋"/>
                <w:b/>
                <w:color w:val="000000"/>
                <w:kern w:val="0"/>
                <w:szCs w:val="21"/>
              </w:rPr>
              <w:t>1．受理前责任：</w:t>
            </w:r>
            <w:r>
              <w:rPr>
                <w:rFonts w:hint="eastAsia" w:ascii="仿宋" w:hAnsi="仿宋" w:eastAsia="仿宋" w:cs="仿宋"/>
                <w:color w:val="000000"/>
                <w:kern w:val="0"/>
                <w:szCs w:val="21"/>
              </w:rPr>
              <w:t xml:space="preserve">明确《地方志工作条例》有关规定；                                  </w:t>
            </w:r>
            <w:r>
              <w:rPr>
                <w:rFonts w:hint="eastAsia" w:ascii="仿宋" w:hAnsi="仿宋" w:eastAsia="仿宋" w:cs="仿宋"/>
                <w:b/>
                <w:color w:val="000000"/>
                <w:kern w:val="0"/>
                <w:szCs w:val="21"/>
              </w:rPr>
              <w:t>2．检查责任：</w:t>
            </w:r>
            <w:r>
              <w:rPr>
                <w:rFonts w:hint="eastAsia" w:ascii="仿宋" w:hAnsi="仿宋" w:eastAsia="仿宋" w:cs="仿宋"/>
                <w:color w:val="000000"/>
                <w:kern w:val="0"/>
                <w:szCs w:val="21"/>
              </w:rPr>
              <w:t xml:space="preserve">对违规单位进行材料审查；                                           </w:t>
            </w:r>
            <w:r>
              <w:rPr>
                <w:rFonts w:hint="eastAsia" w:ascii="仿宋" w:hAnsi="仿宋" w:eastAsia="仿宋" w:cs="仿宋"/>
                <w:b/>
                <w:color w:val="000000"/>
                <w:kern w:val="0"/>
                <w:szCs w:val="21"/>
              </w:rPr>
              <w:t>3．调查责任：</w:t>
            </w:r>
            <w:r>
              <w:rPr>
                <w:rFonts w:hint="eastAsia" w:ascii="仿宋" w:hAnsi="仿宋" w:eastAsia="仿宋" w:cs="仿宋"/>
                <w:color w:val="000000"/>
                <w:kern w:val="0"/>
                <w:szCs w:val="21"/>
              </w:rPr>
              <w:t xml:space="preserve">对违反有关规定的地方志书或综合年鉴的出版行为进行调查、证据收集和听证；                              </w:t>
            </w:r>
            <w:r>
              <w:rPr>
                <w:rFonts w:hint="eastAsia" w:ascii="仿宋" w:hAnsi="仿宋" w:eastAsia="仿宋" w:cs="仿宋"/>
                <w:b/>
                <w:color w:val="000000"/>
                <w:kern w:val="0"/>
                <w:szCs w:val="21"/>
              </w:rPr>
              <w:t>4．决定责任：</w:t>
            </w:r>
            <w:r>
              <w:rPr>
                <w:rFonts w:hint="eastAsia" w:ascii="仿宋" w:hAnsi="仿宋" w:eastAsia="仿宋" w:cs="仿宋"/>
                <w:color w:val="000000"/>
                <w:kern w:val="0"/>
                <w:szCs w:val="21"/>
              </w:rPr>
              <w:t xml:space="preserve">采取相应措施予以纠正，并视情节作出追究或不予追究；            </w:t>
            </w:r>
            <w:r>
              <w:rPr>
                <w:rFonts w:hint="eastAsia" w:ascii="仿宋" w:hAnsi="仿宋" w:eastAsia="仿宋" w:cs="仿宋"/>
                <w:b/>
                <w:color w:val="000000"/>
                <w:kern w:val="0"/>
                <w:szCs w:val="21"/>
              </w:rPr>
              <w:t>5．其它责任：</w:t>
            </w:r>
            <w:r>
              <w:rPr>
                <w:rFonts w:hint="eastAsia" w:ascii="仿宋" w:hAnsi="仿宋" w:eastAsia="仿宋" w:cs="仿宋"/>
                <w:color w:val="000000"/>
                <w:kern w:val="0"/>
                <w:szCs w:val="21"/>
              </w:rPr>
              <w:t>法律法规规章赋予的责任。</w:t>
            </w:r>
          </w:p>
        </w:tc>
        <w:tc>
          <w:tcPr>
            <w:tcW w:w="1219" w:type="dxa"/>
            <w:vAlign w:val="center"/>
          </w:tcPr>
          <w:p>
            <w:pPr>
              <w:widowControl/>
              <w:jc w:val="left"/>
              <w:textAlignment w:val="center"/>
              <w:rPr>
                <w:rFonts w:ascii="仿宋" w:hAnsi="仿宋" w:eastAsia="仿宋" w:cs="仿宋"/>
                <w:szCs w:val="21"/>
              </w:rPr>
            </w:pPr>
            <w:r>
              <w:rPr>
                <w:rFonts w:hint="eastAsia" w:ascii="仿宋" w:hAnsi="仿宋" w:eastAsia="仿宋" w:cs="仿宋"/>
                <w:b/>
                <w:bCs/>
                <w:color w:val="000000"/>
                <w:kern w:val="0"/>
                <w:szCs w:val="21"/>
              </w:rPr>
              <w:t>问责依据：</w:t>
            </w:r>
            <w:r>
              <w:rPr>
                <w:rStyle w:val="8"/>
                <w:rFonts w:hint="default" w:ascii="仿宋" w:hAnsi="仿宋" w:eastAsia="仿宋" w:cs="仿宋"/>
                <w:sz w:val="21"/>
                <w:szCs w:val="21"/>
              </w:rPr>
              <w:t xml:space="preserve">《地方志工作条例》（2006年国务院令第467号）第十八条、第十九条。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55" w:type="dxa"/>
            <w:vAlign w:val="center"/>
          </w:tcPr>
          <w:p>
            <w:pPr>
              <w:spacing w:line="260" w:lineRule="exact"/>
              <w:jc w:val="left"/>
              <w:rPr>
                <w:rFonts w:ascii="仿宋" w:hAnsi="仿宋" w:eastAsia="仿宋" w:cs="仿宋"/>
                <w:szCs w:val="21"/>
              </w:rPr>
            </w:pPr>
          </w:p>
        </w:tc>
        <w:tc>
          <w:tcPr>
            <w:tcW w:w="1309" w:type="dxa"/>
            <w:vAlign w:val="center"/>
          </w:tcPr>
          <w:p>
            <w:pPr>
              <w:spacing w:line="540" w:lineRule="exact"/>
              <w:jc w:val="center"/>
              <w:rPr>
                <w:rFonts w:ascii="仿宋" w:hAnsi="仿宋" w:eastAsia="仿宋" w:cs="仿宋"/>
                <w:szCs w:val="21"/>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 曹锡洪               复核人：黄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表三（行政强制）</w:t>
      </w:r>
    </w:p>
    <w:tbl>
      <w:tblPr>
        <w:tblStyle w:val="5"/>
        <w:tblW w:w="14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029"/>
        <w:gridCol w:w="1421"/>
        <w:gridCol w:w="2400"/>
        <w:gridCol w:w="2950"/>
        <w:gridCol w:w="2106"/>
        <w:gridCol w:w="1219"/>
        <w:gridCol w:w="95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5" w:hRule="atLeast"/>
        </w:trPr>
        <w:tc>
          <w:tcPr>
            <w:tcW w:w="79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02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142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行政强制对象</w:t>
            </w:r>
          </w:p>
        </w:tc>
        <w:tc>
          <w:tcPr>
            <w:tcW w:w="240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行政强制措施（执行）</w:t>
            </w:r>
          </w:p>
        </w:tc>
        <w:tc>
          <w:tcPr>
            <w:tcW w:w="295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10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21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5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130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Merge w:val="continue"/>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表四（行政征收）</w:t>
      </w:r>
    </w:p>
    <w:tbl>
      <w:tblPr>
        <w:tblStyle w:val="5"/>
        <w:tblW w:w="14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029"/>
        <w:gridCol w:w="1421"/>
        <w:gridCol w:w="2400"/>
        <w:gridCol w:w="2950"/>
        <w:gridCol w:w="2106"/>
        <w:gridCol w:w="1219"/>
        <w:gridCol w:w="95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5" w:hRule="atLeast"/>
        </w:trPr>
        <w:tc>
          <w:tcPr>
            <w:tcW w:w="79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02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142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征收项目</w:t>
            </w:r>
          </w:p>
        </w:tc>
        <w:tc>
          <w:tcPr>
            <w:tcW w:w="240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征收标准</w:t>
            </w:r>
          </w:p>
        </w:tc>
        <w:tc>
          <w:tcPr>
            <w:tcW w:w="295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10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21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5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130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Merge w:val="continue"/>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791" w:type="dxa"/>
            <w:vAlign w:val="center"/>
          </w:tcPr>
          <w:p>
            <w:pPr>
              <w:spacing w:line="540" w:lineRule="exact"/>
              <w:jc w:val="center"/>
              <w:rPr>
                <w:rFonts w:ascii="仿宋_GB2312" w:hAnsi="仿宋_GB2312" w:eastAsia="仿宋_GB2312" w:cs="仿宋_GB2312"/>
                <w:sz w:val="32"/>
                <w:szCs w:val="32"/>
              </w:rPr>
            </w:pPr>
          </w:p>
        </w:tc>
        <w:tc>
          <w:tcPr>
            <w:tcW w:w="1029" w:type="dxa"/>
            <w:vAlign w:val="center"/>
          </w:tcPr>
          <w:p>
            <w:pPr>
              <w:spacing w:line="540" w:lineRule="exact"/>
              <w:jc w:val="center"/>
              <w:rPr>
                <w:rFonts w:ascii="仿宋_GB2312" w:hAnsi="仿宋_GB2312" w:eastAsia="仿宋_GB2312" w:cs="仿宋_GB2312"/>
                <w:sz w:val="32"/>
                <w:szCs w:val="32"/>
              </w:rPr>
            </w:pPr>
          </w:p>
        </w:tc>
        <w:tc>
          <w:tcPr>
            <w:tcW w:w="1421" w:type="dxa"/>
            <w:vAlign w:val="center"/>
          </w:tcPr>
          <w:p>
            <w:pPr>
              <w:spacing w:line="540" w:lineRule="exact"/>
              <w:jc w:val="center"/>
              <w:rPr>
                <w:rFonts w:ascii="仿宋_GB2312" w:hAnsi="仿宋_GB2312" w:eastAsia="仿宋_GB2312" w:cs="仿宋_GB2312"/>
                <w:sz w:val="32"/>
                <w:szCs w:val="32"/>
              </w:rPr>
            </w:pPr>
          </w:p>
        </w:tc>
        <w:tc>
          <w:tcPr>
            <w:tcW w:w="2400" w:type="dxa"/>
            <w:vAlign w:val="center"/>
          </w:tcPr>
          <w:p>
            <w:pPr>
              <w:spacing w:line="540" w:lineRule="exact"/>
              <w:jc w:val="center"/>
              <w:rPr>
                <w:rFonts w:ascii="仿宋_GB2312" w:hAnsi="仿宋_GB2312" w:eastAsia="仿宋_GB2312" w:cs="仿宋_GB2312"/>
                <w:sz w:val="32"/>
                <w:szCs w:val="32"/>
              </w:rPr>
            </w:pPr>
          </w:p>
        </w:tc>
        <w:tc>
          <w:tcPr>
            <w:tcW w:w="2950" w:type="dxa"/>
            <w:vAlign w:val="center"/>
          </w:tcPr>
          <w:p>
            <w:pPr>
              <w:spacing w:line="540" w:lineRule="exact"/>
              <w:jc w:val="center"/>
              <w:rPr>
                <w:rFonts w:ascii="仿宋_GB2312" w:hAnsi="仿宋_GB2312" w:eastAsia="仿宋_GB2312" w:cs="仿宋_GB2312"/>
                <w:sz w:val="32"/>
                <w:szCs w:val="32"/>
              </w:rPr>
            </w:pPr>
          </w:p>
        </w:tc>
        <w:tc>
          <w:tcPr>
            <w:tcW w:w="2106" w:type="dxa"/>
            <w:vAlign w:val="center"/>
          </w:tcPr>
          <w:p>
            <w:pPr>
              <w:spacing w:line="540" w:lineRule="exact"/>
              <w:jc w:val="center"/>
              <w:rPr>
                <w:rFonts w:ascii="仿宋_GB2312" w:hAnsi="仿宋_GB2312" w:eastAsia="仿宋_GB2312" w:cs="仿宋_GB2312"/>
                <w:sz w:val="32"/>
                <w:szCs w:val="32"/>
              </w:rPr>
            </w:pPr>
          </w:p>
        </w:tc>
        <w:tc>
          <w:tcPr>
            <w:tcW w:w="1219" w:type="dxa"/>
            <w:vAlign w:val="center"/>
          </w:tcPr>
          <w:p>
            <w:pPr>
              <w:spacing w:line="540" w:lineRule="exact"/>
              <w:jc w:val="left"/>
              <w:rPr>
                <w:rFonts w:ascii="仿宋_GB2312" w:hAnsi="仿宋_GB2312" w:eastAsia="仿宋_GB2312" w:cs="仿宋_GB2312"/>
                <w:sz w:val="32"/>
                <w:szCs w:val="32"/>
              </w:rPr>
            </w:pPr>
          </w:p>
        </w:tc>
        <w:tc>
          <w:tcPr>
            <w:tcW w:w="955" w:type="dxa"/>
            <w:vAlign w:val="center"/>
          </w:tcPr>
          <w:p>
            <w:pPr>
              <w:spacing w:line="540" w:lineRule="exact"/>
              <w:jc w:val="center"/>
              <w:rPr>
                <w:rFonts w:ascii="仿宋_GB2312" w:hAnsi="仿宋_GB2312" w:eastAsia="仿宋_GB2312" w:cs="仿宋_GB2312"/>
                <w:sz w:val="32"/>
                <w:szCs w:val="32"/>
              </w:rPr>
            </w:pPr>
          </w:p>
        </w:tc>
        <w:tc>
          <w:tcPr>
            <w:tcW w:w="1309" w:type="dxa"/>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 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表五（行政给付）</w:t>
      </w:r>
    </w:p>
    <w:tbl>
      <w:tblPr>
        <w:tblStyle w:val="5"/>
        <w:tblW w:w="14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173"/>
        <w:gridCol w:w="2474"/>
        <w:gridCol w:w="3362"/>
        <w:gridCol w:w="2401"/>
        <w:gridCol w:w="1389"/>
        <w:gridCol w:w="1088"/>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3" w:hRule="atLeast"/>
        </w:trPr>
        <w:tc>
          <w:tcPr>
            <w:tcW w:w="90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7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2474"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336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40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38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1088"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149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90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73" w:type="dxa"/>
            <w:vAlign w:val="center"/>
          </w:tcPr>
          <w:p>
            <w:pPr>
              <w:spacing w:line="540" w:lineRule="exact"/>
              <w:jc w:val="center"/>
              <w:rPr>
                <w:rFonts w:ascii="仿宋_GB2312" w:hAnsi="仿宋_GB2312" w:eastAsia="仿宋_GB2312" w:cs="仿宋_GB2312"/>
                <w:sz w:val="32"/>
                <w:szCs w:val="32"/>
              </w:rPr>
            </w:pPr>
          </w:p>
        </w:tc>
        <w:tc>
          <w:tcPr>
            <w:tcW w:w="2474"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3362" w:type="dxa"/>
            <w:vAlign w:val="center"/>
          </w:tcPr>
          <w:p>
            <w:pPr>
              <w:spacing w:line="540" w:lineRule="exact"/>
              <w:jc w:val="center"/>
              <w:rPr>
                <w:rFonts w:ascii="仿宋_GB2312" w:hAnsi="仿宋_GB2312" w:eastAsia="仿宋_GB2312" w:cs="仿宋_GB2312"/>
                <w:sz w:val="32"/>
                <w:szCs w:val="32"/>
              </w:rPr>
            </w:pPr>
          </w:p>
        </w:tc>
        <w:tc>
          <w:tcPr>
            <w:tcW w:w="2401" w:type="dxa"/>
            <w:vAlign w:val="center"/>
          </w:tcPr>
          <w:p>
            <w:pPr>
              <w:spacing w:line="540" w:lineRule="exact"/>
              <w:jc w:val="center"/>
              <w:rPr>
                <w:rFonts w:ascii="仿宋_GB2312" w:hAnsi="仿宋_GB2312" w:eastAsia="仿宋_GB2312" w:cs="仿宋_GB2312"/>
                <w:sz w:val="32"/>
                <w:szCs w:val="32"/>
              </w:rPr>
            </w:pPr>
          </w:p>
        </w:tc>
        <w:tc>
          <w:tcPr>
            <w:tcW w:w="1389" w:type="dxa"/>
            <w:vAlign w:val="center"/>
          </w:tcPr>
          <w:p>
            <w:pPr>
              <w:spacing w:line="540" w:lineRule="exact"/>
              <w:jc w:val="left"/>
              <w:rPr>
                <w:rFonts w:ascii="仿宋_GB2312" w:hAnsi="仿宋_GB2312" w:eastAsia="仿宋_GB2312" w:cs="仿宋_GB2312"/>
                <w:sz w:val="32"/>
                <w:szCs w:val="32"/>
              </w:rPr>
            </w:pPr>
          </w:p>
        </w:tc>
        <w:tc>
          <w:tcPr>
            <w:tcW w:w="1088" w:type="dxa"/>
            <w:vAlign w:val="center"/>
          </w:tcPr>
          <w:p>
            <w:pPr>
              <w:spacing w:line="540" w:lineRule="exact"/>
              <w:jc w:val="center"/>
              <w:rPr>
                <w:rFonts w:ascii="仿宋_GB2312" w:hAnsi="仿宋_GB2312" w:eastAsia="仿宋_GB2312" w:cs="仿宋_GB2312"/>
                <w:sz w:val="32"/>
                <w:szCs w:val="32"/>
              </w:rPr>
            </w:pPr>
          </w:p>
        </w:tc>
        <w:tc>
          <w:tcPr>
            <w:tcW w:w="1492"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90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73" w:type="dxa"/>
            <w:vAlign w:val="center"/>
          </w:tcPr>
          <w:p>
            <w:pPr>
              <w:spacing w:line="540" w:lineRule="exact"/>
              <w:jc w:val="center"/>
              <w:rPr>
                <w:rFonts w:ascii="仿宋_GB2312" w:hAnsi="仿宋_GB2312" w:eastAsia="仿宋_GB2312" w:cs="仿宋_GB2312"/>
                <w:sz w:val="32"/>
                <w:szCs w:val="32"/>
              </w:rPr>
            </w:pPr>
          </w:p>
        </w:tc>
        <w:tc>
          <w:tcPr>
            <w:tcW w:w="2474" w:type="dxa"/>
            <w:vMerge w:val="continue"/>
            <w:vAlign w:val="center"/>
          </w:tcPr>
          <w:p>
            <w:pPr>
              <w:spacing w:line="540" w:lineRule="exact"/>
              <w:jc w:val="center"/>
              <w:rPr>
                <w:rFonts w:ascii="仿宋_GB2312" w:hAnsi="仿宋_GB2312" w:eastAsia="仿宋_GB2312" w:cs="仿宋_GB2312"/>
                <w:sz w:val="32"/>
                <w:szCs w:val="32"/>
              </w:rPr>
            </w:pPr>
          </w:p>
        </w:tc>
        <w:tc>
          <w:tcPr>
            <w:tcW w:w="3362" w:type="dxa"/>
            <w:vAlign w:val="center"/>
          </w:tcPr>
          <w:p>
            <w:pPr>
              <w:spacing w:line="540" w:lineRule="exact"/>
              <w:jc w:val="center"/>
              <w:rPr>
                <w:rFonts w:ascii="仿宋_GB2312" w:hAnsi="仿宋_GB2312" w:eastAsia="仿宋_GB2312" w:cs="仿宋_GB2312"/>
                <w:sz w:val="32"/>
                <w:szCs w:val="32"/>
              </w:rPr>
            </w:pPr>
          </w:p>
        </w:tc>
        <w:tc>
          <w:tcPr>
            <w:tcW w:w="2401" w:type="dxa"/>
            <w:vAlign w:val="center"/>
          </w:tcPr>
          <w:p>
            <w:pPr>
              <w:spacing w:line="540" w:lineRule="exact"/>
              <w:jc w:val="center"/>
              <w:rPr>
                <w:rFonts w:ascii="仿宋_GB2312" w:hAnsi="仿宋_GB2312" w:eastAsia="仿宋_GB2312" w:cs="仿宋_GB2312"/>
                <w:sz w:val="32"/>
                <w:szCs w:val="32"/>
              </w:rPr>
            </w:pPr>
          </w:p>
        </w:tc>
        <w:tc>
          <w:tcPr>
            <w:tcW w:w="1389" w:type="dxa"/>
            <w:vAlign w:val="center"/>
          </w:tcPr>
          <w:p>
            <w:pPr>
              <w:spacing w:line="540" w:lineRule="exact"/>
              <w:jc w:val="left"/>
              <w:rPr>
                <w:rFonts w:ascii="仿宋_GB2312" w:hAnsi="仿宋_GB2312" w:eastAsia="仿宋_GB2312" w:cs="仿宋_GB2312"/>
                <w:sz w:val="32"/>
                <w:szCs w:val="32"/>
              </w:rPr>
            </w:pPr>
          </w:p>
        </w:tc>
        <w:tc>
          <w:tcPr>
            <w:tcW w:w="1088" w:type="dxa"/>
            <w:vAlign w:val="center"/>
          </w:tcPr>
          <w:p>
            <w:pPr>
              <w:spacing w:line="540" w:lineRule="exact"/>
              <w:jc w:val="center"/>
              <w:rPr>
                <w:rFonts w:ascii="仿宋_GB2312" w:hAnsi="仿宋_GB2312" w:eastAsia="仿宋_GB2312" w:cs="仿宋_GB2312"/>
                <w:sz w:val="32"/>
                <w:szCs w:val="32"/>
              </w:rPr>
            </w:pPr>
          </w:p>
        </w:tc>
        <w:tc>
          <w:tcPr>
            <w:tcW w:w="1492"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901" w:type="dxa"/>
            <w:vAlign w:val="center"/>
          </w:tcPr>
          <w:p>
            <w:pPr>
              <w:spacing w:line="540" w:lineRule="exact"/>
              <w:jc w:val="center"/>
              <w:rPr>
                <w:rFonts w:ascii="仿宋_GB2312" w:hAnsi="仿宋_GB2312" w:eastAsia="仿宋_GB2312" w:cs="仿宋_GB2312"/>
                <w:sz w:val="32"/>
                <w:szCs w:val="32"/>
              </w:rPr>
            </w:pPr>
          </w:p>
        </w:tc>
        <w:tc>
          <w:tcPr>
            <w:tcW w:w="1173" w:type="dxa"/>
            <w:vAlign w:val="center"/>
          </w:tcPr>
          <w:p>
            <w:pPr>
              <w:spacing w:line="540" w:lineRule="exact"/>
              <w:jc w:val="center"/>
              <w:rPr>
                <w:rFonts w:ascii="仿宋_GB2312" w:hAnsi="仿宋_GB2312" w:eastAsia="仿宋_GB2312" w:cs="仿宋_GB2312"/>
                <w:sz w:val="32"/>
                <w:szCs w:val="32"/>
              </w:rPr>
            </w:pPr>
          </w:p>
        </w:tc>
        <w:tc>
          <w:tcPr>
            <w:tcW w:w="2474" w:type="dxa"/>
            <w:vAlign w:val="center"/>
          </w:tcPr>
          <w:p>
            <w:pPr>
              <w:spacing w:line="540" w:lineRule="exact"/>
              <w:jc w:val="center"/>
              <w:rPr>
                <w:rFonts w:ascii="仿宋_GB2312" w:hAnsi="仿宋_GB2312" w:eastAsia="仿宋_GB2312" w:cs="仿宋_GB2312"/>
                <w:sz w:val="32"/>
                <w:szCs w:val="32"/>
              </w:rPr>
            </w:pPr>
          </w:p>
        </w:tc>
        <w:tc>
          <w:tcPr>
            <w:tcW w:w="3362" w:type="dxa"/>
            <w:vAlign w:val="center"/>
          </w:tcPr>
          <w:p>
            <w:pPr>
              <w:spacing w:line="540" w:lineRule="exact"/>
              <w:jc w:val="center"/>
              <w:rPr>
                <w:rFonts w:ascii="仿宋_GB2312" w:hAnsi="仿宋_GB2312" w:eastAsia="仿宋_GB2312" w:cs="仿宋_GB2312"/>
                <w:sz w:val="32"/>
                <w:szCs w:val="32"/>
              </w:rPr>
            </w:pPr>
          </w:p>
        </w:tc>
        <w:tc>
          <w:tcPr>
            <w:tcW w:w="2401" w:type="dxa"/>
            <w:vAlign w:val="center"/>
          </w:tcPr>
          <w:p>
            <w:pPr>
              <w:spacing w:line="540" w:lineRule="exact"/>
              <w:jc w:val="center"/>
              <w:rPr>
                <w:rFonts w:ascii="仿宋_GB2312" w:hAnsi="仿宋_GB2312" w:eastAsia="仿宋_GB2312" w:cs="仿宋_GB2312"/>
                <w:sz w:val="32"/>
                <w:szCs w:val="32"/>
              </w:rPr>
            </w:pPr>
          </w:p>
        </w:tc>
        <w:tc>
          <w:tcPr>
            <w:tcW w:w="1389" w:type="dxa"/>
            <w:vAlign w:val="center"/>
          </w:tcPr>
          <w:p>
            <w:pPr>
              <w:spacing w:line="540" w:lineRule="exact"/>
              <w:jc w:val="left"/>
              <w:rPr>
                <w:rFonts w:ascii="仿宋_GB2312" w:hAnsi="仿宋_GB2312" w:eastAsia="仿宋_GB2312" w:cs="仿宋_GB2312"/>
                <w:sz w:val="32"/>
                <w:szCs w:val="32"/>
              </w:rPr>
            </w:pPr>
          </w:p>
        </w:tc>
        <w:tc>
          <w:tcPr>
            <w:tcW w:w="1088" w:type="dxa"/>
            <w:vAlign w:val="center"/>
          </w:tcPr>
          <w:p>
            <w:pPr>
              <w:spacing w:line="540" w:lineRule="exact"/>
              <w:jc w:val="center"/>
              <w:rPr>
                <w:rFonts w:ascii="仿宋_GB2312" w:hAnsi="仿宋_GB2312" w:eastAsia="仿宋_GB2312" w:cs="仿宋_GB2312"/>
                <w:sz w:val="32"/>
                <w:szCs w:val="32"/>
              </w:rPr>
            </w:pPr>
          </w:p>
        </w:tc>
        <w:tc>
          <w:tcPr>
            <w:tcW w:w="1492"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901" w:type="dxa"/>
            <w:vAlign w:val="center"/>
          </w:tcPr>
          <w:p>
            <w:pPr>
              <w:spacing w:line="540" w:lineRule="exact"/>
              <w:jc w:val="center"/>
              <w:rPr>
                <w:rFonts w:ascii="仿宋_GB2312" w:hAnsi="仿宋_GB2312" w:eastAsia="仿宋_GB2312" w:cs="仿宋_GB2312"/>
                <w:sz w:val="32"/>
                <w:szCs w:val="32"/>
              </w:rPr>
            </w:pPr>
          </w:p>
        </w:tc>
        <w:tc>
          <w:tcPr>
            <w:tcW w:w="1173" w:type="dxa"/>
            <w:vAlign w:val="center"/>
          </w:tcPr>
          <w:p>
            <w:pPr>
              <w:spacing w:line="540" w:lineRule="exact"/>
              <w:jc w:val="center"/>
              <w:rPr>
                <w:rFonts w:ascii="仿宋_GB2312" w:hAnsi="仿宋_GB2312" w:eastAsia="仿宋_GB2312" w:cs="仿宋_GB2312"/>
                <w:sz w:val="32"/>
                <w:szCs w:val="32"/>
              </w:rPr>
            </w:pPr>
          </w:p>
        </w:tc>
        <w:tc>
          <w:tcPr>
            <w:tcW w:w="2474" w:type="dxa"/>
            <w:vAlign w:val="center"/>
          </w:tcPr>
          <w:p>
            <w:pPr>
              <w:spacing w:line="540" w:lineRule="exact"/>
              <w:jc w:val="center"/>
              <w:rPr>
                <w:rFonts w:ascii="仿宋_GB2312" w:hAnsi="仿宋_GB2312" w:eastAsia="仿宋_GB2312" w:cs="仿宋_GB2312"/>
                <w:sz w:val="32"/>
                <w:szCs w:val="32"/>
              </w:rPr>
            </w:pPr>
          </w:p>
        </w:tc>
        <w:tc>
          <w:tcPr>
            <w:tcW w:w="3362" w:type="dxa"/>
            <w:vAlign w:val="center"/>
          </w:tcPr>
          <w:p>
            <w:pPr>
              <w:spacing w:line="540" w:lineRule="exact"/>
              <w:jc w:val="center"/>
              <w:rPr>
                <w:rFonts w:ascii="仿宋_GB2312" w:hAnsi="仿宋_GB2312" w:eastAsia="仿宋_GB2312" w:cs="仿宋_GB2312"/>
                <w:sz w:val="32"/>
                <w:szCs w:val="32"/>
              </w:rPr>
            </w:pPr>
          </w:p>
        </w:tc>
        <w:tc>
          <w:tcPr>
            <w:tcW w:w="2401" w:type="dxa"/>
            <w:vAlign w:val="center"/>
          </w:tcPr>
          <w:p>
            <w:pPr>
              <w:spacing w:line="540" w:lineRule="exact"/>
              <w:jc w:val="center"/>
              <w:rPr>
                <w:rFonts w:ascii="仿宋_GB2312" w:hAnsi="仿宋_GB2312" w:eastAsia="仿宋_GB2312" w:cs="仿宋_GB2312"/>
                <w:sz w:val="32"/>
                <w:szCs w:val="32"/>
              </w:rPr>
            </w:pPr>
          </w:p>
        </w:tc>
        <w:tc>
          <w:tcPr>
            <w:tcW w:w="1389" w:type="dxa"/>
            <w:vAlign w:val="center"/>
          </w:tcPr>
          <w:p>
            <w:pPr>
              <w:spacing w:line="540" w:lineRule="exact"/>
              <w:jc w:val="left"/>
              <w:rPr>
                <w:rFonts w:ascii="仿宋_GB2312" w:hAnsi="仿宋_GB2312" w:eastAsia="仿宋_GB2312" w:cs="仿宋_GB2312"/>
                <w:sz w:val="32"/>
                <w:szCs w:val="32"/>
              </w:rPr>
            </w:pPr>
          </w:p>
        </w:tc>
        <w:tc>
          <w:tcPr>
            <w:tcW w:w="1088" w:type="dxa"/>
            <w:vAlign w:val="center"/>
          </w:tcPr>
          <w:p>
            <w:pPr>
              <w:spacing w:line="540" w:lineRule="exact"/>
              <w:jc w:val="center"/>
              <w:rPr>
                <w:rFonts w:ascii="仿宋_GB2312" w:hAnsi="仿宋_GB2312" w:eastAsia="仿宋_GB2312" w:cs="仿宋_GB2312"/>
                <w:sz w:val="32"/>
                <w:szCs w:val="32"/>
              </w:rPr>
            </w:pPr>
          </w:p>
        </w:tc>
        <w:tc>
          <w:tcPr>
            <w:tcW w:w="1492"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901" w:type="dxa"/>
            <w:vAlign w:val="center"/>
          </w:tcPr>
          <w:p>
            <w:pPr>
              <w:spacing w:line="540" w:lineRule="exact"/>
              <w:jc w:val="center"/>
              <w:rPr>
                <w:rFonts w:ascii="仿宋_GB2312" w:hAnsi="仿宋_GB2312" w:eastAsia="仿宋_GB2312" w:cs="仿宋_GB2312"/>
                <w:sz w:val="32"/>
                <w:szCs w:val="32"/>
              </w:rPr>
            </w:pPr>
          </w:p>
        </w:tc>
        <w:tc>
          <w:tcPr>
            <w:tcW w:w="1173" w:type="dxa"/>
            <w:vAlign w:val="center"/>
          </w:tcPr>
          <w:p>
            <w:pPr>
              <w:spacing w:line="540" w:lineRule="exact"/>
              <w:jc w:val="center"/>
              <w:rPr>
                <w:rFonts w:ascii="仿宋_GB2312" w:hAnsi="仿宋_GB2312" w:eastAsia="仿宋_GB2312" w:cs="仿宋_GB2312"/>
                <w:sz w:val="32"/>
                <w:szCs w:val="32"/>
              </w:rPr>
            </w:pPr>
          </w:p>
        </w:tc>
        <w:tc>
          <w:tcPr>
            <w:tcW w:w="2474" w:type="dxa"/>
            <w:vAlign w:val="center"/>
          </w:tcPr>
          <w:p>
            <w:pPr>
              <w:spacing w:line="540" w:lineRule="exact"/>
              <w:jc w:val="center"/>
              <w:rPr>
                <w:rFonts w:ascii="仿宋_GB2312" w:hAnsi="仿宋_GB2312" w:eastAsia="仿宋_GB2312" w:cs="仿宋_GB2312"/>
                <w:sz w:val="32"/>
                <w:szCs w:val="32"/>
              </w:rPr>
            </w:pPr>
          </w:p>
        </w:tc>
        <w:tc>
          <w:tcPr>
            <w:tcW w:w="3362" w:type="dxa"/>
            <w:vAlign w:val="center"/>
          </w:tcPr>
          <w:p>
            <w:pPr>
              <w:spacing w:line="540" w:lineRule="exact"/>
              <w:jc w:val="center"/>
              <w:rPr>
                <w:rFonts w:ascii="仿宋_GB2312" w:hAnsi="仿宋_GB2312" w:eastAsia="仿宋_GB2312" w:cs="仿宋_GB2312"/>
                <w:sz w:val="32"/>
                <w:szCs w:val="32"/>
              </w:rPr>
            </w:pPr>
          </w:p>
        </w:tc>
        <w:tc>
          <w:tcPr>
            <w:tcW w:w="2401" w:type="dxa"/>
            <w:vAlign w:val="center"/>
          </w:tcPr>
          <w:p>
            <w:pPr>
              <w:spacing w:line="540" w:lineRule="exact"/>
              <w:jc w:val="center"/>
              <w:rPr>
                <w:rFonts w:ascii="仿宋_GB2312" w:hAnsi="仿宋_GB2312" w:eastAsia="仿宋_GB2312" w:cs="仿宋_GB2312"/>
                <w:sz w:val="32"/>
                <w:szCs w:val="32"/>
              </w:rPr>
            </w:pPr>
          </w:p>
        </w:tc>
        <w:tc>
          <w:tcPr>
            <w:tcW w:w="1389" w:type="dxa"/>
            <w:vAlign w:val="center"/>
          </w:tcPr>
          <w:p>
            <w:pPr>
              <w:spacing w:line="540" w:lineRule="exact"/>
              <w:jc w:val="left"/>
              <w:rPr>
                <w:rFonts w:ascii="仿宋_GB2312" w:hAnsi="仿宋_GB2312" w:eastAsia="仿宋_GB2312" w:cs="仿宋_GB2312"/>
                <w:sz w:val="32"/>
                <w:szCs w:val="32"/>
              </w:rPr>
            </w:pPr>
          </w:p>
        </w:tc>
        <w:tc>
          <w:tcPr>
            <w:tcW w:w="1088" w:type="dxa"/>
            <w:vAlign w:val="center"/>
          </w:tcPr>
          <w:p>
            <w:pPr>
              <w:spacing w:line="540" w:lineRule="exact"/>
              <w:jc w:val="center"/>
              <w:rPr>
                <w:rFonts w:ascii="仿宋_GB2312" w:hAnsi="仿宋_GB2312" w:eastAsia="仿宋_GB2312" w:cs="仿宋_GB2312"/>
                <w:sz w:val="32"/>
                <w:szCs w:val="32"/>
              </w:rPr>
            </w:pPr>
          </w:p>
        </w:tc>
        <w:tc>
          <w:tcPr>
            <w:tcW w:w="1492"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901" w:type="dxa"/>
            <w:vAlign w:val="center"/>
          </w:tcPr>
          <w:p>
            <w:pPr>
              <w:spacing w:line="540" w:lineRule="exact"/>
              <w:jc w:val="center"/>
              <w:rPr>
                <w:rFonts w:ascii="仿宋_GB2312" w:hAnsi="仿宋_GB2312" w:eastAsia="仿宋_GB2312" w:cs="仿宋_GB2312"/>
                <w:sz w:val="32"/>
                <w:szCs w:val="32"/>
              </w:rPr>
            </w:pPr>
          </w:p>
        </w:tc>
        <w:tc>
          <w:tcPr>
            <w:tcW w:w="1173" w:type="dxa"/>
            <w:vAlign w:val="center"/>
          </w:tcPr>
          <w:p>
            <w:pPr>
              <w:spacing w:line="540" w:lineRule="exact"/>
              <w:jc w:val="center"/>
              <w:rPr>
                <w:rFonts w:ascii="仿宋_GB2312" w:hAnsi="仿宋_GB2312" w:eastAsia="仿宋_GB2312" w:cs="仿宋_GB2312"/>
                <w:sz w:val="32"/>
                <w:szCs w:val="32"/>
              </w:rPr>
            </w:pPr>
          </w:p>
        </w:tc>
        <w:tc>
          <w:tcPr>
            <w:tcW w:w="2474" w:type="dxa"/>
            <w:vAlign w:val="center"/>
          </w:tcPr>
          <w:p>
            <w:pPr>
              <w:spacing w:line="540" w:lineRule="exact"/>
              <w:jc w:val="center"/>
              <w:rPr>
                <w:rFonts w:ascii="仿宋_GB2312" w:hAnsi="仿宋_GB2312" w:eastAsia="仿宋_GB2312" w:cs="仿宋_GB2312"/>
                <w:sz w:val="32"/>
                <w:szCs w:val="32"/>
              </w:rPr>
            </w:pPr>
          </w:p>
        </w:tc>
        <w:tc>
          <w:tcPr>
            <w:tcW w:w="3362" w:type="dxa"/>
            <w:vAlign w:val="center"/>
          </w:tcPr>
          <w:p>
            <w:pPr>
              <w:spacing w:line="540" w:lineRule="exact"/>
              <w:jc w:val="center"/>
              <w:rPr>
                <w:rFonts w:ascii="仿宋_GB2312" w:hAnsi="仿宋_GB2312" w:eastAsia="仿宋_GB2312" w:cs="仿宋_GB2312"/>
                <w:sz w:val="32"/>
                <w:szCs w:val="32"/>
              </w:rPr>
            </w:pPr>
          </w:p>
        </w:tc>
        <w:tc>
          <w:tcPr>
            <w:tcW w:w="2401" w:type="dxa"/>
            <w:vAlign w:val="center"/>
          </w:tcPr>
          <w:p>
            <w:pPr>
              <w:spacing w:line="540" w:lineRule="exact"/>
              <w:jc w:val="center"/>
              <w:rPr>
                <w:rFonts w:ascii="仿宋_GB2312" w:hAnsi="仿宋_GB2312" w:eastAsia="仿宋_GB2312" w:cs="仿宋_GB2312"/>
                <w:sz w:val="32"/>
                <w:szCs w:val="32"/>
              </w:rPr>
            </w:pPr>
          </w:p>
        </w:tc>
        <w:tc>
          <w:tcPr>
            <w:tcW w:w="1389" w:type="dxa"/>
            <w:vAlign w:val="center"/>
          </w:tcPr>
          <w:p>
            <w:pPr>
              <w:spacing w:line="540" w:lineRule="exact"/>
              <w:jc w:val="left"/>
              <w:rPr>
                <w:rFonts w:ascii="仿宋_GB2312" w:hAnsi="仿宋_GB2312" w:eastAsia="仿宋_GB2312" w:cs="仿宋_GB2312"/>
                <w:sz w:val="32"/>
                <w:szCs w:val="32"/>
              </w:rPr>
            </w:pPr>
          </w:p>
        </w:tc>
        <w:tc>
          <w:tcPr>
            <w:tcW w:w="1088" w:type="dxa"/>
            <w:vAlign w:val="center"/>
          </w:tcPr>
          <w:p>
            <w:pPr>
              <w:spacing w:line="540" w:lineRule="exact"/>
              <w:jc w:val="center"/>
              <w:rPr>
                <w:rFonts w:ascii="仿宋_GB2312" w:hAnsi="仿宋_GB2312" w:eastAsia="仿宋_GB2312" w:cs="仿宋_GB2312"/>
                <w:sz w:val="32"/>
                <w:szCs w:val="32"/>
              </w:rPr>
            </w:pPr>
          </w:p>
        </w:tc>
        <w:tc>
          <w:tcPr>
            <w:tcW w:w="1492" w:type="dxa"/>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复核人：黄 珍           联系电话：0759-7780598</w:t>
      </w: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表六（行政检查）1项</w:t>
      </w:r>
    </w:p>
    <w:tbl>
      <w:tblPr>
        <w:tblStyle w:val="5"/>
        <w:tblW w:w="14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930"/>
        <w:gridCol w:w="1020"/>
        <w:gridCol w:w="6225"/>
        <w:gridCol w:w="2370"/>
        <w:gridCol w:w="1215"/>
        <w:gridCol w:w="915"/>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638"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3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102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6225"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37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215" w:type="dxa"/>
            <w:vAlign w:val="center"/>
          </w:tcPr>
          <w:p>
            <w:pPr>
              <w:spacing w:line="3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15"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767"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638" w:type="dxa"/>
            <w:vAlign w:val="center"/>
          </w:tcPr>
          <w:p>
            <w:pPr>
              <w:jc w:val="center"/>
              <w:rPr>
                <w:rFonts w:ascii="仿宋" w:hAnsi="仿宋" w:eastAsia="仿宋" w:cs="仿宋"/>
                <w:szCs w:val="21"/>
              </w:rPr>
            </w:pPr>
            <w:r>
              <w:rPr>
                <w:rFonts w:hint="eastAsia" w:ascii="仿宋" w:hAnsi="仿宋" w:eastAsia="仿宋" w:cs="仿宋"/>
                <w:szCs w:val="21"/>
              </w:rPr>
              <w:t>1</w:t>
            </w:r>
          </w:p>
        </w:tc>
        <w:tc>
          <w:tcPr>
            <w:tcW w:w="930"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rPr>
              <w:t>00711217940600001000440823</w:t>
            </w:r>
          </w:p>
        </w:tc>
        <w:tc>
          <w:tcPr>
            <w:tcW w:w="1020" w:type="dxa"/>
            <w:vAlign w:val="center"/>
          </w:tcPr>
          <w:p>
            <w:pPr>
              <w:widowControl/>
              <w:jc w:val="left"/>
              <w:textAlignment w:val="center"/>
              <w:rPr>
                <w:rFonts w:ascii="仿宋" w:hAnsi="仿宋" w:eastAsia="仿宋" w:cs="仿宋"/>
                <w:szCs w:val="21"/>
              </w:rPr>
            </w:pPr>
            <w:r>
              <w:rPr>
                <w:rFonts w:hint="eastAsia" w:ascii="仿宋" w:hAnsi="仿宋" w:eastAsia="仿宋" w:cs="仿宋"/>
                <w:b/>
                <w:color w:val="000000"/>
                <w:kern w:val="0"/>
                <w:szCs w:val="21"/>
              </w:rPr>
              <w:t>检查地方志工作</w:t>
            </w:r>
          </w:p>
        </w:tc>
        <w:tc>
          <w:tcPr>
            <w:tcW w:w="6225" w:type="dxa"/>
          </w:tcPr>
          <w:p>
            <w:pPr>
              <w:widowControl/>
              <w:textAlignment w:val="top"/>
              <w:rPr>
                <w:rFonts w:ascii="仿宋" w:hAnsi="仿宋" w:eastAsia="仿宋" w:cs="仿宋"/>
                <w:szCs w:val="21"/>
              </w:rPr>
            </w:pPr>
            <w:r>
              <w:rPr>
                <w:rFonts w:hint="eastAsia" w:ascii="仿宋" w:hAnsi="仿宋" w:eastAsia="仿宋" w:cs="仿宋"/>
                <w:b/>
                <w:color w:val="000000"/>
                <w:kern w:val="0"/>
                <w:szCs w:val="21"/>
              </w:rPr>
              <w:t>【行政法规</w:t>
            </w:r>
            <w:r>
              <w:rPr>
                <w:rFonts w:hint="eastAsia" w:ascii="仿宋" w:hAnsi="仿宋" w:eastAsia="仿宋" w:cs="仿宋"/>
                <w:color w:val="000000"/>
                <w:kern w:val="0"/>
                <w:szCs w:val="21"/>
              </w:rPr>
              <w:t>】《地方志工作条例》（2006年国务院令第467号）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第五条 国家地方志工作指导机构统筹规划、组织协调、督促指导全国地方志工作。</w:t>
            </w:r>
            <w:r>
              <w:rPr>
                <w:rFonts w:hint="eastAsia" w:ascii="仿宋" w:hAnsi="仿宋" w:eastAsia="仿宋" w:cs="仿宋"/>
                <w:b/>
                <w:color w:val="000000"/>
                <w:kern w:val="0"/>
                <w:szCs w:val="21"/>
              </w:rPr>
              <w:t>县级以上地方人民政府负责地方志工作的机构</w:t>
            </w:r>
            <w:r>
              <w:rPr>
                <w:rFonts w:hint="eastAsia" w:ascii="仿宋" w:hAnsi="仿宋" w:eastAsia="仿宋" w:cs="仿宋"/>
                <w:color w:val="000000"/>
                <w:kern w:val="0"/>
                <w:szCs w:val="21"/>
              </w:rPr>
              <w:t>主管本行政区域的地方志工作，履行下列职责：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（一）组织、指导、督促和检查地方志工作；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（二）拟定地方志工作规划和编纂方案；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（三）组织编纂地方志书、地方综合年鉴；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（四）搜集、保存地方志文献和资料，组织整理旧志，推动方志理论研究；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（五）组织开发利用地方志资源。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第六条 编纂地方志应当做到存真求实，确保质量，全面、客观地记述本行政区域自然、政治、经济、文化和社会的历史与现状。</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第五条 </w:t>
            </w:r>
            <w:r>
              <w:rPr>
                <w:rFonts w:hint="eastAsia" w:ascii="仿宋" w:hAnsi="仿宋" w:eastAsia="仿宋" w:cs="仿宋"/>
                <w:b/>
                <w:color w:val="000000"/>
                <w:kern w:val="0"/>
                <w:szCs w:val="21"/>
              </w:rPr>
              <w:t>县级以上人民政府地方志工作机构</w:t>
            </w:r>
            <w:r>
              <w:rPr>
                <w:rFonts w:hint="eastAsia" w:ascii="仿宋" w:hAnsi="仿宋" w:eastAsia="仿宋" w:cs="仿宋"/>
                <w:color w:val="000000"/>
                <w:kern w:val="0"/>
                <w:szCs w:val="21"/>
              </w:rPr>
              <w:t>主管本行政区域的地方志工作，履行下列职责：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（一）拟订地方志工作规划和编纂方案，制定地方志工作制度；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（二）组织、指导、督促和检查地方志工作；</w:t>
            </w:r>
            <w:r>
              <w:rPr>
                <w:rFonts w:hint="eastAsia" w:ascii="仿宋" w:hAnsi="仿宋" w:eastAsia="仿宋" w:cs="仿宋"/>
                <w:b/>
                <w:color w:val="000000"/>
                <w:kern w:val="0"/>
                <w:szCs w:val="21"/>
              </w:rPr>
              <w:br w:type="textWrapping"/>
            </w:r>
            <w:r>
              <w:rPr>
                <w:rFonts w:hint="eastAsia" w:ascii="仿宋" w:hAnsi="仿宋" w:eastAsia="仿宋" w:cs="仿宋"/>
                <w:color w:val="000000"/>
                <w:kern w:val="0"/>
                <w:szCs w:val="21"/>
              </w:rPr>
              <w:t xml:space="preserve">   （三）组织编纂地方志书、地方综合年鉴和地方志文献；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（四）组织地方志书的审查验收；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（五）组织培训地方志编纂人员；</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（六）搜集、整理、保存地方志文献和资料；</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（七）组织整理旧志，推动地方志理论研究；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（八）组织地情调查研究和开发利用地方志资源。</w:t>
            </w:r>
          </w:p>
        </w:tc>
        <w:tc>
          <w:tcPr>
            <w:tcW w:w="2370" w:type="dxa"/>
            <w:vAlign w:val="center"/>
          </w:tcPr>
          <w:p>
            <w:pPr>
              <w:widowControl/>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组织编纂地方志书、地方综合年鉴，检查地方志、年鉴编纂工作的形式、内容和进程。</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2.检查责任：</w:t>
            </w:r>
            <w:r>
              <w:rPr>
                <w:rFonts w:hint="eastAsia" w:ascii="仿宋" w:hAnsi="仿宋" w:eastAsia="仿宋" w:cs="仿宋"/>
                <w:color w:val="000000"/>
                <w:kern w:val="0"/>
                <w:szCs w:val="21"/>
              </w:rPr>
              <w:t>编纂地方志、综合年鉴在资料、行文上都有严格的要求，应当做到存真求实、行文规范，确保按时按质完成任务。</w:t>
            </w:r>
          </w:p>
        </w:tc>
        <w:tc>
          <w:tcPr>
            <w:tcW w:w="1215" w:type="dxa"/>
            <w:vAlign w:val="center"/>
          </w:tcPr>
          <w:p>
            <w:pPr>
              <w:jc w:val="left"/>
              <w:rPr>
                <w:rFonts w:ascii="仿宋" w:hAnsi="仿宋" w:eastAsia="仿宋" w:cs="仿宋"/>
                <w:color w:val="000000"/>
                <w:kern w:val="0"/>
                <w:szCs w:val="21"/>
              </w:rPr>
            </w:pPr>
            <w:r>
              <w:rPr>
                <w:rFonts w:hint="eastAsia" w:ascii="仿宋" w:hAnsi="仿宋" w:eastAsia="仿宋" w:cs="仿宋"/>
                <w:b/>
                <w:bCs/>
                <w:szCs w:val="21"/>
              </w:rPr>
              <w:t>问责依据：</w:t>
            </w:r>
            <w:r>
              <w:rPr>
                <w:rFonts w:hint="eastAsia" w:ascii="仿宋" w:hAnsi="仿宋" w:eastAsia="仿宋" w:cs="仿宋"/>
                <w:color w:val="000000"/>
                <w:kern w:val="0"/>
                <w:szCs w:val="21"/>
              </w:rPr>
              <w:t>《地方志工作条例》（2006年国务院令第467号）第五条、第六条，《广东省地方志工作规定》（2007年粤府令第120号）第五条。</w:t>
            </w:r>
          </w:p>
          <w:p>
            <w:pPr>
              <w:jc w:val="left"/>
              <w:rPr>
                <w:rFonts w:ascii="仿宋" w:hAnsi="仿宋" w:eastAsia="仿宋" w:cs="仿宋"/>
                <w:szCs w:val="21"/>
              </w:rPr>
            </w:pPr>
            <w:r>
              <w:rPr>
                <w:rFonts w:hint="eastAsia" w:ascii="仿宋" w:hAnsi="仿宋" w:eastAsia="仿宋" w:cs="仿宋"/>
                <w:b/>
                <w:bCs/>
                <w:color w:val="000000"/>
                <w:kern w:val="0"/>
                <w:szCs w:val="21"/>
              </w:rPr>
              <w:t>监督方式：</w:t>
            </w:r>
            <w:r>
              <w:rPr>
                <w:rFonts w:hint="eastAsia" w:ascii="仿宋" w:hAnsi="仿宋" w:eastAsia="仿宋" w:cs="仿宋"/>
                <w:color w:val="000000"/>
                <w:kern w:val="0"/>
                <w:szCs w:val="21"/>
              </w:rPr>
              <w:br w:type="textWrapping"/>
            </w:r>
            <w:r>
              <w:rPr>
                <w:rFonts w:hint="eastAsia" w:ascii="仿宋" w:hAnsi="仿宋" w:eastAsia="仿宋" w:cs="仿宋"/>
                <w:bCs/>
                <w:color w:val="000000"/>
                <w:kern w:val="0"/>
                <w:szCs w:val="21"/>
              </w:rPr>
              <w:t>0759-7780598</w:t>
            </w:r>
          </w:p>
        </w:tc>
        <w:tc>
          <w:tcPr>
            <w:tcW w:w="915" w:type="dxa"/>
            <w:vAlign w:val="center"/>
          </w:tcPr>
          <w:p>
            <w:pPr>
              <w:widowControl/>
              <w:jc w:val="left"/>
              <w:textAlignment w:val="center"/>
              <w:rPr>
                <w:rFonts w:ascii="仿宋" w:hAnsi="仿宋" w:eastAsia="仿宋" w:cs="仿宋"/>
                <w:szCs w:val="21"/>
              </w:rPr>
            </w:pPr>
          </w:p>
        </w:tc>
        <w:tc>
          <w:tcPr>
            <w:tcW w:w="767" w:type="dxa"/>
            <w:vAlign w:val="center"/>
          </w:tcPr>
          <w:p>
            <w:pPr>
              <w:jc w:val="center"/>
              <w:rPr>
                <w:rFonts w:ascii="仿宋" w:hAnsi="仿宋" w:eastAsia="仿宋" w:cs="仿宋"/>
                <w:szCs w:val="21"/>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表七（行政确认）</w:t>
      </w:r>
    </w:p>
    <w:tbl>
      <w:tblPr>
        <w:tblStyle w:val="5"/>
        <w:tblW w:w="14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1156"/>
        <w:gridCol w:w="2440"/>
        <w:gridCol w:w="3315"/>
        <w:gridCol w:w="2366"/>
        <w:gridCol w:w="1370"/>
        <w:gridCol w:w="1073"/>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7" w:hRule="atLeast"/>
        </w:trPr>
        <w:tc>
          <w:tcPr>
            <w:tcW w:w="88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5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244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331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36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370"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107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147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88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56" w:type="dxa"/>
            <w:vAlign w:val="center"/>
          </w:tcPr>
          <w:p>
            <w:pPr>
              <w:spacing w:line="540" w:lineRule="exact"/>
              <w:jc w:val="center"/>
              <w:rPr>
                <w:rFonts w:ascii="仿宋_GB2312" w:hAnsi="仿宋_GB2312" w:eastAsia="仿宋_GB2312" w:cs="仿宋_GB2312"/>
                <w:sz w:val="32"/>
                <w:szCs w:val="32"/>
              </w:rPr>
            </w:pPr>
          </w:p>
        </w:tc>
        <w:tc>
          <w:tcPr>
            <w:tcW w:w="2440"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3315" w:type="dxa"/>
            <w:vAlign w:val="center"/>
          </w:tcPr>
          <w:p>
            <w:pPr>
              <w:spacing w:line="540" w:lineRule="exact"/>
              <w:jc w:val="center"/>
              <w:rPr>
                <w:rFonts w:ascii="仿宋_GB2312" w:hAnsi="仿宋_GB2312" w:eastAsia="仿宋_GB2312" w:cs="仿宋_GB2312"/>
                <w:sz w:val="32"/>
                <w:szCs w:val="32"/>
              </w:rPr>
            </w:pPr>
          </w:p>
        </w:tc>
        <w:tc>
          <w:tcPr>
            <w:tcW w:w="2366" w:type="dxa"/>
            <w:vAlign w:val="center"/>
          </w:tcPr>
          <w:p>
            <w:pPr>
              <w:spacing w:line="540" w:lineRule="exact"/>
              <w:jc w:val="center"/>
              <w:rPr>
                <w:rFonts w:ascii="仿宋_GB2312" w:hAnsi="仿宋_GB2312" w:eastAsia="仿宋_GB2312" w:cs="仿宋_GB2312"/>
                <w:sz w:val="32"/>
                <w:szCs w:val="32"/>
              </w:rPr>
            </w:pPr>
          </w:p>
        </w:tc>
        <w:tc>
          <w:tcPr>
            <w:tcW w:w="1370" w:type="dxa"/>
            <w:vAlign w:val="center"/>
          </w:tcPr>
          <w:p>
            <w:pPr>
              <w:spacing w:line="540" w:lineRule="exact"/>
              <w:jc w:val="left"/>
              <w:rPr>
                <w:rFonts w:ascii="仿宋_GB2312" w:hAnsi="仿宋_GB2312" w:eastAsia="仿宋_GB2312" w:cs="仿宋_GB2312"/>
                <w:sz w:val="32"/>
                <w:szCs w:val="32"/>
              </w:rPr>
            </w:pPr>
          </w:p>
        </w:tc>
        <w:tc>
          <w:tcPr>
            <w:tcW w:w="1073" w:type="dxa"/>
            <w:vAlign w:val="center"/>
          </w:tcPr>
          <w:p>
            <w:pPr>
              <w:spacing w:line="540" w:lineRule="exact"/>
              <w:jc w:val="center"/>
              <w:rPr>
                <w:rFonts w:ascii="仿宋_GB2312" w:hAnsi="仿宋_GB2312" w:eastAsia="仿宋_GB2312" w:cs="仿宋_GB2312"/>
                <w:sz w:val="32"/>
                <w:szCs w:val="32"/>
              </w:rPr>
            </w:pPr>
          </w:p>
        </w:tc>
        <w:tc>
          <w:tcPr>
            <w:tcW w:w="147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88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56" w:type="dxa"/>
            <w:vAlign w:val="center"/>
          </w:tcPr>
          <w:p>
            <w:pPr>
              <w:spacing w:line="540" w:lineRule="exact"/>
              <w:jc w:val="center"/>
              <w:rPr>
                <w:rFonts w:ascii="仿宋_GB2312" w:hAnsi="仿宋_GB2312" w:eastAsia="仿宋_GB2312" w:cs="仿宋_GB2312"/>
                <w:sz w:val="32"/>
                <w:szCs w:val="32"/>
              </w:rPr>
            </w:pPr>
          </w:p>
        </w:tc>
        <w:tc>
          <w:tcPr>
            <w:tcW w:w="2440" w:type="dxa"/>
            <w:vMerge w:val="continue"/>
            <w:vAlign w:val="center"/>
          </w:tcPr>
          <w:p>
            <w:pPr>
              <w:spacing w:line="540" w:lineRule="exact"/>
              <w:jc w:val="center"/>
              <w:rPr>
                <w:rFonts w:ascii="仿宋_GB2312" w:hAnsi="仿宋_GB2312" w:eastAsia="仿宋_GB2312" w:cs="仿宋_GB2312"/>
                <w:sz w:val="32"/>
                <w:szCs w:val="32"/>
              </w:rPr>
            </w:pPr>
          </w:p>
        </w:tc>
        <w:tc>
          <w:tcPr>
            <w:tcW w:w="3315" w:type="dxa"/>
            <w:vAlign w:val="center"/>
          </w:tcPr>
          <w:p>
            <w:pPr>
              <w:spacing w:line="540" w:lineRule="exact"/>
              <w:jc w:val="center"/>
              <w:rPr>
                <w:rFonts w:ascii="仿宋_GB2312" w:hAnsi="仿宋_GB2312" w:eastAsia="仿宋_GB2312" w:cs="仿宋_GB2312"/>
                <w:sz w:val="32"/>
                <w:szCs w:val="32"/>
              </w:rPr>
            </w:pPr>
          </w:p>
        </w:tc>
        <w:tc>
          <w:tcPr>
            <w:tcW w:w="2366" w:type="dxa"/>
            <w:vAlign w:val="center"/>
          </w:tcPr>
          <w:p>
            <w:pPr>
              <w:spacing w:line="540" w:lineRule="exact"/>
              <w:jc w:val="center"/>
              <w:rPr>
                <w:rFonts w:ascii="仿宋_GB2312" w:hAnsi="仿宋_GB2312" w:eastAsia="仿宋_GB2312" w:cs="仿宋_GB2312"/>
                <w:sz w:val="32"/>
                <w:szCs w:val="32"/>
              </w:rPr>
            </w:pPr>
          </w:p>
        </w:tc>
        <w:tc>
          <w:tcPr>
            <w:tcW w:w="1370" w:type="dxa"/>
            <w:vAlign w:val="center"/>
          </w:tcPr>
          <w:p>
            <w:pPr>
              <w:spacing w:line="540" w:lineRule="exact"/>
              <w:jc w:val="left"/>
              <w:rPr>
                <w:rFonts w:ascii="仿宋_GB2312" w:hAnsi="仿宋_GB2312" w:eastAsia="仿宋_GB2312" w:cs="仿宋_GB2312"/>
                <w:sz w:val="32"/>
                <w:szCs w:val="32"/>
              </w:rPr>
            </w:pPr>
          </w:p>
        </w:tc>
        <w:tc>
          <w:tcPr>
            <w:tcW w:w="1073" w:type="dxa"/>
            <w:vAlign w:val="center"/>
          </w:tcPr>
          <w:p>
            <w:pPr>
              <w:spacing w:line="540" w:lineRule="exact"/>
              <w:jc w:val="center"/>
              <w:rPr>
                <w:rFonts w:ascii="仿宋_GB2312" w:hAnsi="仿宋_GB2312" w:eastAsia="仿宋_GB2312" w:cs="仿宋_GB2312"/>
                <w:sz w:val="32"/>
                <w:szCs w:val="32"/>
              </w:rPr>
            </w:pPr>
          </w:p>
        </w:tc>
        <w:tc>
          <w:tcPr>
            <w:tcW w:w="147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889" w:type="dxa"/>
            <w:vAlign w:val="center"/>
          </w:tcPr>
          <w:p>
            <w:pPr>
              <w:spacing w:line="540" w:lineRule="exact"/>
              <w:jc w:val="center"/>
              <w:rPr>
                <w:rFonts w:ascii="仿宋_GB2312" w:hAnsi="仿宋_GB2312" w:eastAsia="仿宋_GB2312" w:cs="仿宋_GB2312"/>
                <w:sz w:val="32"/>
                <w:szCs w:val="32"/>
              </w:rPr>
            </w:pPr>
          </w:p>
        </w:tc>
        <w:tc>
          <w:tcPr>
            <w:tcW w:w="1156" w:type="dxa"/>
            <w:vAlign w:val="center"/>
          </w:tcPr>
          <w:p>
            <w:pPr>
              <w:spacing w:line="540" w:lineRule="exact"/>
              <w:jc w:val="center"/>
              <w:rPr>
                <w:rFonts w:ascii="仿宋_GB2312" w:hAnsi="仿宋_GB2312" w:eastAsia="仿宋_GB2312" w:cs="仿宋_GB2312"/>
                <w:sz w:val="32"/>
                <w:szCs w:val="32"/>
              </w:rPr>
            </w:pPr>
          </w:p>
        </w:tc>
        <w:tc>
          <w:tcPr>
            <w:tcW w:w="2440" w:type="dxa"/>
            <w:vAlign w:val="center"/>
          </w:tcPr>
          <w:p>
            <w:pPr>
              <w:spacing w:line="540" w:lineRule="exact"/>
              <w:jc w:val="center"/>
              <w:rPr>
                <w:rFonts w:ascii="仿宋_GB2312" w:hAnsi="仿宋_GB2312" w:eastAsia="仿宋_GB2312" w:cs="仿宋_GB2312"/>
                <w:sz w:val="32"/>
                <w:szCs w:val="32"/>
              </w:rPr>
            </w:pPr>
          </w:p>
        </w:tc>
        <w:tc>
          <w:tcPr>
            <w:tcW w:w="3315" w:type="dxa"/>
            <w:vAlign w:val="center"/>
          </w:tcPr>
          <w:p>
            <w:pPr>
              <w:spacing w:line="540" w:lineRule="exact"/>
              <w:jc w:val="center"/>
              <w:rPr>
                <w:rFonts w:ascii="仿宋_GB2312" w:hAnsi="仿宋_GB2312" w:eastAsia="仿宋_GB2312" w:cs="仿宋_GB2312"/>
                <w:sz w:val="32"/>
                <w:szCs w:val="32"/>
              </w:rPr>
            </w:pPr>
          </w:p>
        </w:tc>
        <w:tc>
          <w:tcPr>
            <w:tcW w:w="2366" w:type="dxa"/>
            <w:vAlign w:val="center"/>
          </w:tcPr>
          <w:p>
            <w:pPr>
              <w:spacing w:line="540" w:lineRule="exact"/>
              <w:jc w:val="center"/>
              <w:rPr>
                <w:rFonts w:ascii="仿宋_GB2312" w:hAnsi="仿宋_GB2312" w:eastAsia="仿宋_GB2312" w:cs="仿宋_GB2312"/>
                <w:sz w:val="32"/>
                <w:szCs w:val="32"/>
              </w:rPr>
            </w:pPr>
          </w:p>
        </w:tc>
        <w:tc>
          <w:tcPr>
            <w:tcW w:w="1370" w:type="dxa"/>
            <w:vAlign w:val="center"/>
          </w:tcPr>
          <w:p>
            <w:pPr>
              <w:spacing w:line="540" w:lineRule="exact"/>
              <w:jc w:val="left"/>
              <w:rPr>
                <w:rFonts w:ascii="仿宋_GB2312" w:hAnsi="仿宋_GB2312" w:eastAsia="仿宋_GB2312" w:cs="仿宋_GB2312"/>
                <w:sz w:val="32"/>
                <w:szCs w:val="32"/>
              </w:rPr>
            </w:pPr>
          </w:p>
        </w:tc>
        <w:tc>
          <w:tcPr>
            <w:tcW w:w="1073" w:type="dxa"/>
            <w:vAlign w:val="center"/>
          </w:tcPr>
          <w:p>
            <w:pPr>
              <w:spacing w:line="540" w:lineRule="exact"/>
              <w:jc w:val="center"/>
              <w:rPr>
                <w:rFonts w:ascii="仿宋_GB2312" w:hAnsi="仿宋_GB2312" w:eastAsia="仿宋_GB2312" w:cs="仿宋_GB2312"/>
                <w:sz w:val="32"/>
                <w:szCs w:val="32"/>
              </w:rPr>
            </w:pPr>
          </w:p>
        </w:tc>
        <w:tc>
          <w:tcPr>
            <w:tcW w:w="147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889" w:type="dxa"/>
            <w:vAlign w:val="center"/>
          </w:tcPr>
          <w:p>
            <w:pPr>
              <w:spacing w:line="540" w:lineRule="exact"/>
              <w:jc w:val="center"/>
              <w:rPr>
                <w:rFonts w:ascii="仿宋_GB2312" w:hAnsi="仿宋_GB2312" w:eastAsia="仿宋_GB2312" w:cs="仿宋_GB2312"/>
                <w:sz w:val="32"/>
                <w:szCs w:val="32"/>
              </w:rPr>
            </w:pPr>
          </w:p>
        </w:tc>
        <w:tc>
          <w:tcPr>
            <w:tcW w:w="1156" w:type="dxa"/>
            <w:vAlign w:val="center"/>
          </w:tcPr>
          <w:p>
            <w:pPr>
              <w:spacing w:line="540" w:lineRule="exact"/>
              <w:jc w:val="center"/>
              <w:rPr>
                <w:rFonts w:ascii="仿宋_GB2312" w:hAnsi="仿宋_GB2312" w:eastAsia="仿宋_GB2312" w:cs="仿宋_GB2312"/>
                <w:sz w:val="32"/>
                <w:szCs w:val="32"/>
              </w:rPr>
            </w:pPr>
          </w:p>
        </w:tc>
        <w:tc>
          <w:tcPr>
            <w:tcW w:w="2440" w:type="dxa"/>
            <w:vAlign w:val="center"/>
          </w:tcPr>
          <w:p>
            <w:pPr>
              <w:spacing w:line="540" w:lineRule="exact"/>
              <w:jc w:val="center"/>
              <w:rPr>
                <w:rFonts w:ascii="仿宋_GB2312" w:hAnsi="仿宋_GB2312" w:eastAsia="仿宋_GB2312" w:cs="仿宋_GB2312"/>
                <w:sz w:val="32"/>
                <w:szCs w:val="32"/>
              </w:rPr>
            </w:pPr>
          </w:p>
        </w:tc>
        <w:tc>
          <w:tcPr>
            <w:tcW w:w="3315" w:type="dxa"/>
            <w:vAlign w:val="center"/>
          </w:tcPr>
          <w:p>
            <w:pPr>
              <w:spacing w:line="540" w:lineRule="exact"/>
              <w:jc w:val="center"/>
              <w:rPr>
                <w:rFonts w:ascii="仿宋_GB2312" w:hAnsi="仿宋_GB2312" w:eastAsia="仿宋_GB2312" w:cs="仿宋_GB2312"/>
                <w:sz w:val="32"/>
                <w:szCs w:val="32"/>
              </w:rPr>
            </w:pPr>
          </w:p>
        </w:tc>
        <w:tc>
          <w:tcPr>
            <w:tcW w:w="2366" w:type="dxa"/>
            <w:vAlign w:val="center"/>
          </w:tcPr>
          <w:p>
            <w:pPr>
              <w:spacing w:line="540" w:lineRule="exact"/>
              <w:jc w:val="center"/>
              <w:rPr>
                <w:rFonts w:ascii="仿宋_GB2312" w:hAnsi="仿宋_GB2312" w:eastAsia="仿宋_GB2312" w:cs="仿宋_GB2312"/>
                <w:sz w:val="32"/>
                <w:szCs w:val="32"/>
              </w:rPr>
            </w:pPr>
          </w:p>
        </w:tc>
        <w:tc>
          <w:tcPr>
            <w:tcW w:w="1370" w:type="dxa"/>
            <w:vAlign w:val="center"/>
          </w:tcPr>
          <w:p>
            <w:pPr>
              <w:spacing w:line="540" w:lineRule="exact"/>
              <w:jc w:val="left"/>
              <w:rPr>
                <w:rFonts w:ascii="仿宋_GB2312" w:hAnsi="仿宋_GB2312" w:eastAsia="仿宋_GB2312" w:cs="仿宋_GB2312"/>
                <w:sz w:val="32"/>
                <w:szCs w:val="32"/>
              </w:rPr>
            </w:pPr>
          </w:p>
        </w:tc>
        <w:tc>
          <w:tcPr>
            <w:tcW w:w="1073" w:type="dxa"/>
            <w:vAlign w:val="center"/>
          </w:tcPr>
          <w:p>
            <w:pPr>
              <w:spacing w:line="540" w:lineRule="exact"/>
              <w:jc w:val="center"/>
              <w:rPr>
                <w:rFonts w:ascii="仿宋_GB2312" w:hAnsi="仿宋_GB2312" w:eastAsia="仿宋_GB2312" w:cs="仿宋_GB2312"/>
                <w:sz w:val="32"/>
                <w:szCs w:val="32"/>
              </w:rPr>
            </w:pPr>
          </w:p>
        </w:tc>
        <w:tc>
          <w:tcPr>
            <w:tcW w:w="147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889" w:type="dxa"/>
            <w:vAlign w:val="center"/>
          </w:tcPr>
          <w:p>
            <w:pPr>
              <w:spacing w:line="540" w:lineRule="exact"/>
              <w:jc w:val="center"/>
              <w:rPr>
                <w:rFonts w:ascii="仿宋_GB2312" w:hAnsi="仿宋_GB2312" w:eastAsia="仿宋_GB2312" w:cs="仿宋_GB2312"/>
                <w:sz w:val="32"/>
                <w:szCs w:val="32"/>
              </w:rPr>
            </w:pPr>
          </w:p>
        </w:tc>
        <w:tc>
          <w:tcPr>
            <w:tcW w:w="1156" w:type="dxa"/>
            <w:vAlign w:val="center"/>
          </w:tcPr>
          <w:p>
            <w:pPr>
              <w:spacing w:line="540" w:lineRule="exact"/>
              <w:jc w:val="center"/>
              <w:rPr>
                <w:rFonts w:ascii="仿宋_GB2312" w:hAnsi="仿宋_GB2312" w:eastAsia="仿宋_GB2312" w:cs="仿宋_GB2312"/>
                <w:sz w:val="32"/>
                <w:szCs w:val="32"/>
              </w:rPr>
            </w:pPr>
          </w:p>
        </w:tc>
        <w:tc>
          <w:tcPr>
            <w:tcW w:w="2440" w:type="dxa"/>
            <w:vAlign w:val="center"/>
          </w:tcPr>
          <w:p>
            <w:pPr>
              <w:spacing w:line="540" w:lineRule="exact"/>
              <w:jc w:val="center"/>
              <w:rPr>
                <w:rFonts w:ascii="仿宋_GB2312" w:hAnsi="仿宋_GB2312" w:eastAsia="仿宋_GB2312" w:cs="仿宋_GB2312"/>
                <w:sz w:val="32"/>
                <w:szCs w:val="32"/>
              </w:rPr>
            </w:pPr>
          </w:p>
        </w:tc>
        <w:tc>
          <w:tcPr>
            <w:tcW w:w="3315" w:type="dxa"/>
            <w:vAlign w:val="center"/>
          </w:tcPr>
          <w:p>
            <w:pPr>
              <w:spacing w:line="540" w:lineRule="exact"/>
              <w:jc w:val="center"/>
              <w:rPr>
                <w:rFonts w:ascii="仿宋_GB2312" w:hAnsi="仿宋_GB2312" w:eastAsia="仿宋_GB2312" w:cs="仿宋_GB2312"/>
                <w:sz w:val="32"/>
                <w:szCs w:val="32"/>
              </w:rPr>
            </w:pPr>
          </w:p>
        </w:tc>
        <w:tc>
          <w:tcPr>
            <w:tcW w:w="2366" w:type="dxa"/>
            <w:vAlign w:val="center"/>
          </w:tcPr>
          <w:p>
            <w:pPr>
              <w:spacing w:line="540" w:lineRule="exact"/>
              <w:jc w:val="center"/>
              <w:rPr>
                <w:rFonts w:ascii="仿宋_GB2312" w:hAnsi="仿宋_GB2312" w:eastAsia="仿宋_GB2312" w:cs="仿宋_GB2312"/>
                <w:sz w:val="32"/>
                <w:szCs w:val="32"/>
              </w:rPr>
            </w:pPr>
          </w:p>
        </w:tc>
        <w:tc>
          <w:tcPr>
            <w:tcW w:w="1370" w:type="dxa"/>
            <w:vAlign w:val="center"/>
          </w:tcPr>
          <w:p>
            <w:pPr>
              <w:spacing w:line="540" w:lineRule="exact"/>
              <w:jc w:val="left"/>
              <w:rPr>
                <w:rFonts w:ascii="仿宋_GB2312" w:hAnsi="仿宋_GB2312" w:eastAsia="仿宋_GB2312" w:cs="仿宋_GB2312"/>
                <w:sz w:val="32"/>
                <w:szCs w:val="32"/>
              </w:rPr>
            </w:pPr>
          </w:p>
        </w:tc>
        <w:tc>
          <w:tcPr>
            <w:tcW w:w="1073" w:type="dxa"/>
            <w:vAlign w:val="center"/>
          </w:tcPr>
          <w:p>
            <w:pPr>
              <w:spacing w:line="540" w:lineRule="exact"/>
              <w:jc w:val="center"/>
              <w:rPr>
                <w:rFonts w:ascii="仿宋_GB2312" w:hAnsi="仿宋_GB2312" w:eastAsia="仿宋_GB2312" w:cs="仿宋_GB2312"/>
                <w:sz w:val="32"/>
                <w:szCs w:val="32"/>
              </w:rPr>
            </w:pPr>
          </w:p>
        </w:tc>
        <w:tc>
          <w:tcPr>
            <w:tcW w:w="147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889" w:type="dxa"/>
            <w:vAlign w:val="center"/>
          </w:tcPr>
          <w:p>
            <w:pPr>
              <w:spacing w:line="540" w:lineRule="exact"/>
              <w:jc w:val="center"/>
              <w:rPr>
                <w:rFonts w:ascii="仿宋_GB2312" w:hAnsi="仿宋_GB2312" w:eastAsia="仿宋_GB2312" w:cs="仿宋_GB2312"/>
                <w:sz w:val="32"/>
                <w:szCs w:val="32"/>
              </w:rPr>
            </w:pPr>
          </w:p>
        </w:tc>
        <w:tc>
          <w:tcPr>
            <w:tcW w:w="1156" w:type="dxa"/>
            <w:vAlign w:val="center"/>
          </w:tcPr>
          <w:p>
            <w:pPr>
              <w:spacing w:line="540" w:lineRule="exact"/>
              <w:jc w:val="center"/>
              <w:rPr>
                <w:rFonts w:ascii="仿宋_GB2312" w:hAnsi="仿宋_GB2312" w:eastAsia="仿宋_GB2312" w:cs="仿宋_GB2312"/>
                <w:sz w:val="32"/>
                <w:szCs w:val="32"/>
              </w:rPr>
            </w:pPr>
          </w:p>
        </w:tc>
        <w:tc>
          <w:tcPr>
            <w:tcW w:w="2440" w:type="dxa"/>
            <w:vAlign w:val="center"/>
          </w:tcPr>
          <w:p>
            <w:pPr>
              <w:spacing w:line="540" w:lineRule="exact"/>
              <w:jc w:val="center"/>
              <w:rPr>
                <w:rFonts w:ascii="仿宋_GB2312" w:hAnsi="仿宋_GB2312" w:eastAsia="仿宋_GB2312" w:cs="仿宋_GB2312"/>
                <w:sz w:val="32"/>
                <w:szCs w:val="32"/>
              </w:rPr>
            </w:pPr>
          </w:p>
        </w:tc>
        <w:tc>
          <w:tcPr>
            <w:tcW w:w="3315" w:type="dxa"/>
            <w:vAlign w:val="center"/>
          </w:tcPr>
          <w:p>
            <w:pPr>
              <w:spacing w:line="540" w:lineRule="exact"/>
              <w:jc w:val="center"/>
              <w:rPr>
                <w:rFonts w:ascii="仿宋_GB2312" w:hAnsi="仿宋_GB2312" w:eastAsia="仿宋_GB2312" w:cs="仿宋_GB2312"/>
                <w:sz w:val="32"/>
                <w:szCs w:val="32"/>
              </w:rPr>
            </w:pPr>
          </w:p>
        </w:tc>
        <w:tc>
          <w:tcPr>
            <w:tcW w:w="2366" w:type="dxa"/>
            <w:vAlign w:val="center"/>
          </w:tcPr>
          <w:p>
            <w:pPr>
              <w:spacing w:line="540" w:lineRule="exact"/>
              <w:jc w:val="center"/>
              <w:rPr>
                <w:rFonts w:ascii="仿宋_GB2312" w:hAnsi="仿宋_GB2312" w:eastAsia="仿宋_GB2312" w:cs="仿宋_GB2312"/>
                <w:sz w:val="32"/>
                <w:szCs w:val="32"/>
              </w:rPr>
            </w:pPr>
          </w:p>
        </w:tc>
        <w:tc>
          <w:tcPr>
            <w:tcW w:w="1370" w:type="dxa"/>
            <w:vAlign w:val="center"/>
          </w:tcPr>
          <w:p>
            <w:pPr>
              <w:spacing w:line="540" w:lineRule="exact"/>
              <w:jc w:val="left"/>
              <w:rPr>
                <w:rFonts w:ascii="仿宋_GB2312" w:hAnsi="仿宋_GB2312" w:eastAsia="仿宋_GB2312" w:cs="仿宋_GB2312"/>
                <w:sz w:val="32"/>
                <w:szCs w:val="32"/>
              </w:rPr>
            </w:pPr>
          </w:p>
        </w:tc>
        <w:tc>
          <w:tcPr>
            <w:tcW w:w="1073" w:type="dxa"/>
            <w:vAlign w:val="center"/>
          </w:tcPr>
          <w:p>
            <w:pPr>
              <w:spacing w:line="540" w:lineRule="exact"/>
              <w:jc w:val="center"/>
              <w:rPr>
                <w:rFonts w:ascii="仿宋_GB2312" w:hAnsi="仿宋_GB2312" w:eastAsia="仿宋_GB2312" w:cs="仿宋_GB2312"/>
                <w:sz w:val="32"/>
                <w:szCs w:val="32"/>
              </w:rPr>
            </w:pPr>
          </w:p>
        </w:tc>
        <w:tc>
          <w:tcPr>
            <w:tcW w:w="147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889" w:type="dxa"/>
            <w:vAlign w:val="center"/>
          </w:tcPr>
          <w:p>
            <w:pPr>
              <w:spacing w:line="540" w:lineRule="exact"/>
              <w:jc w:val="center"/>
              <w:rPr>
                <w:rFonts w:ascii="仿宋_GB2312" w:hAnsi="仿宋_GB2312" w:eastAsia="仿宋_GB2312" w:cs="仿宋_GB2312"/>
                <w:sz w:val="32"/>
                <w:szCs w:val="32"/>
              </w:rPr>
            </w:pPr>
          </w:p>
        </w:tc>
        <w:tc>
          <w:tcPr>
            <w:tcW w:w="1156" w:type="dxa"/>
            <w:vAlign w:val="center"/>
          </w:tcPr>
          <w:p>
            <w:pPr>
              <w:spacing w:line="540" w:lineRule="exact"/>
              <w:jc w:val="center"/>
              <w:rPr>
                <w:rFonts w:ascii="仿宋_GB2312" w:hAnsi="仿宋_GB2312" w:eastAsia="仿宋_GB2312" w:cs="仿宋_GB2312"/>
                <w:sz w:val="32"/>
                <w:szCs w:val="32"/>
              </w:rPr>
            </w:pPr>
          </w:p>
        </w:tc>
        <w:tc>
          <w:tcPr>
            <w:tcW w:w="2440" w:type="dxa"/>
            <w:vAlign w:val="center"/>
          </w:tcPr>
          <w:p>
            <w:pPr>
              <w:spacing w:line="540" w:lineRule="exact"/>
              <w:jc w:val="center"/>
              <w:rPr>
                <w:rFonts w:ascii="仿宋_GB2312" w:hAnsi="仿宋_GB2312" w:eastAsia="仿宋_GB2312" w:cs="仿宋_GB2312"/>
                <w:sz w:val="32"/>
                <w:szCs w:val="32"/>
              </w:rPr>
            </w:pPr>
          </w:p>
        </w:tc>
        <w:tc>
          <w:tcPr>
            <w:tcW w:w="3315" w:type="dxa"/>
            <w:vAlign w:val="center"/>
          </w:tcPr>
          <w:p>
            <w:pPr>
              <w:spacing w:line="540" w:lineRule="exact"/>
              <w:jc w:val="center"/>
              <w:rPr>
                <w:rFonts w:ascii="仿宋_GB2312" w:hAnsi="仿宋_GB2312" w:eastAsia="仿宋_GB2312" w:cs="仿宋_GB2312"/>
                <w:sz w:val="32"/>
                <w:szCs w:val="32"/>
              </w:rPr>
            </w:pPr>
          </w:p>
        </w:tc>
        <w:tc>
          <w:tcPr>
            <w:tcW w:w="2366" w:type="dxa"/>
            <w:vAlign w:val="center"/>
          </w:tcPr>
          <w:p>
            <w:pPr>
              <w:spacing w:line="540" w:lineRule="exact"/>
              <w:jc w:val="center"/>
              <w:rPr>
                <w:rFonts w:ascii="仿宋_GB2312" w:hAnsi="仿宋_GB2312" w:eastAsia="仿宋_GB2312" w:cs="仿宋_GB2312"/>
                <w:sz w:val="32"/>
                <w:szCs w:val="32"/>
              </w:rPr>
            </w:pPr>
          </w:p>
        </w:tc>
        <w:tc>
          <w:tcPr>
            <w:tcW w:w="1370" w:type="dxa"/>
            <w:vAlign w:val="center"/>
          </w:tcPr>
          <w:p>
            <w:pPr>
              <w:spacing w:line="540" w:lineRule="exact"/>
              <w:jc w:val="left"/>
              <w:rPr>
                <w:rFonts w:ascii="仿宋_GB2312" w:hAnsi="仿宋_GB2312" w:eastAsia="仿宋_GB2312" w:cs="仿宋_GB2312"/>
                <w:sz w:val="32"/>
                <w:szCs w:val="32"/>
              </w:rPr>
            </w:pPr>
          </w:p>
        </w:tc>
        <w:tc>
          <w:tcPr>
            <w:tcW w:w="1073" w:type="dxa"/>
            <w:vAlign w:val="center"/>
          </w:tcPr>
          <w:p>
            <w:pPr>
              <w:spacing w:line="540" w:lineRule="exact"/>
              <w:jc w:val="center"/>
              <w:rPr>
                <w:rFonts w:ascii="仿宋_GB2312" w:hAnsi="仿宋_GB2312" w:eastAsia="仿宋_GB2312" w:cs="仿宋_GB2312"/>
                <w:sz w:val="32"/>
                <w:szCs w:val="32"/>
              </w:rPr>
            </w:pPr>
          </w:p>
        </w:tc>
        <w:tc>
          <w:tcPr>
            <w:tcW w:w="1471" w:type="dxa"/>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 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表八（行政裁决）</w:t>
      </w:r>
    </w:p>
    <w:tbl>
      <w:tblPr>
        <w:tblStyle w:val="5"/>
        <w:tblW w:w="14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1165"/>
        <w:gridCol w:w="2457"/>
        <w:gridCol w:w="3338"/>
        <w:gridCol w:w="2383"/>
        <w:gridCol w:w="1380"/>
        <w:gridCol w:w="108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2" w:hRule="atLeast"/>
        </w:trPr>
        <w:tc>
          <w:tcPr>
            <w:tcW w:w="89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6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2457"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3338"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38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380"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108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148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9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65" w:type="dxa"/>
            <w:vAlign w:val="center"/>
          </w:tcPr>
          <w:p>
            <w:pPr>
              <w:spacing w:line="540" w:lineRule="exact"/>
              <w:jc w:val="center"/>
              <w:rPr>
                <w:rFonts w:ascii="仿宋_GB2312" w:hAnsi="仿宋_GB2312" w:eastAsia="仿宋_GB2312" w:cs="仿宋_GB2312"/>
                <w:sz w:val="32"/>
                <w:szCs w:val="32"/>
              </w:rPr>
            </w:pPr>
          </w:p>
        </w:tc>
        <w:tc>
          <w:tcPr>
            <w:tcW w:w="2457"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9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65" w:type="dxa"/>
            <w:vAlign w:val="center"/>
          </w:tcPr>
          <w:p>
            <w:pPr>
              <w:spacing w:line="540" w:lineRule="exact"/>
              <w:jc w:val="center"/>
              <w:rPr>
                <w:rFonts w:ascii="仿宋_GB2312" w:hAnsi="仿宋_GB2312" w:eastAsia="仿宋_GB2312" w:cs="仿宋_GB2312"/>
                <w:sz w:val="32"/>
                <w:szCs w:val="32"/>
              </w:rPr>
            </w:pPr>
          </w:p>
        </w:tc>
        <w:tc>
          <w:tcPr>
            <w:tcW w:w="2457" w:type="dxa"/>
            <w:vMerge w:val="continue"/>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95" w:type="dxa"/>
            <w:vAlign w:val="center"/>
          </w:tcPr>
          <w:p>
            <w:pPr>
              <w:spacing w:line="540" w:lineRule="exact"/>
              <w:jc w:val="center"/>
              <w:rPr>
                <w:rFonts w:ascii="仿宋_GB2312" w:hAnsi="仿宋_GB2312" w:eastAsia="仿宋_GB2312" w:cs="仿宋_GB2312"/>
                <w:sz w:val="32"/>
                <w:szCs w:val="32"/>
              </w:rPr>
            </w:pPr>
          </w:p>
        </w:tc>
        <w:tc>
          <w:tcPr>
            <w:tcW w:w="1165"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95" w:type="dxa"/>
            <w:vAlign w:val="center"/>
          </w:tcPr>
          <w:p>
            <w:pPr>
              <w:spacing w:line="540" w:lineRule="exact"/>
              <w:jc w:val="center"/>
              <w:rPr>
                <w:rFonts w:ascii="仿宋_GB2312" w:hAnsi="仿宋_GB2312" w:eastAsia="仿宋_GB2312" w:cs="仿宋_GB2312"/>
                <w:sz w:val="32"/>
                <w:szCs w:val="32"/>
              </w:rPr>
            </w:pPr>
          </w:p>
        </w:tc>
        <w:tc>
          <w:tcPr>
            <w:tcW w:w="1165"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95" w:type="dxa"/>
            <w:vAlign w:val="center"/>
          </w:tcPr>
          <w:p>
            <w:pPr>
              <w:spacing w:line="540" w:lineRule="exact"/>
              <w:jc w:val="center"/>
              <w:rPr>
                <w:rFonts w:ascii="仿宋_GB2312" w:hAnsi="仿宋_GB2312" w:eastAsia="仿宋_GB2312" w:cs="仿宋_GB2312"/>
                <w:sz w:val="32"/>
                <w:szCs w:val="32"/>
              </w:rPr>
            </w:pPr>
          </w:p>
        </w:tc>
        <w:tc>
          <w:tcPr>
            <w:tcW w:w="1165"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95" w:type="dxa"/>
            <w:vAlign w:val="center"/>
          </w:tcPr>
          <w:p>
            <w:pPr>
              <w:spacing w:line="540" w:lineRule="exact"/>
              <w:jc w:val="center"/>
              <w:rPr>
                <w:rFonts w:ascii="仿宋_GB2312" w:hAnsi="仿宋_GB2312" w:eastAsia="仿宋_GB2312" w:cs="仿宋_GB2312"/>
                <w:sz w:val="32"/>
                <w:szCs w:val="32"/>
              </w:rPr>
            </w:pPr>
          </w:p>
        </w:tc>
        <w:tc>
          <w:tcPr>
            <w:tcW w:w="1165"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95" w:type="dxa"/>
            <w:vAlign w:val="center"/>
          </w:tcPr>
          <w:p>
            <w:pPr>
              <w:spacing w:line="540" w:lineRule="exact"/>
              <w:jc w:val="center"/>
              <w:rPr>
                <w:rFonts w:ascii="仿宋_GB2312" w:hAnsi="仿宋_GB2312" w:eastAsia="仿宋_GB2312" w:cs="仿宋_GB2312"/>
                <w:sz w:val="32"/>
                <w:szCs w:val="32"/>
              </w:rPr>
            </w:pPr>
          </w:p>
        </w:tc>
        <w:tc>
          <w:tcPr>
            <w:tcW w:w="1165"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表九（行政奖励）</w:t>
      </w:r>
    </w:p>
    <w:tbl>
      <w:tblPr>
        <w:tblStyle w:val="5"/>
        <w:tblW w:w="14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164"/>
        <w:gridCol w:w="2457"/>
        <w:gridCol w:w="3338"/>
        <w:gridCol w:w="2383"/>
        <w:gridCol w:w="1380"/>
        <w:gridCol w:w="108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5" w:hRule="atLeast"/>
        </w:trPr>
        <w:tc>
          <w:tcPr>
            <w:tcW w:w="89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64"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2457"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3338"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38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380"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108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148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89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64" w:type="dxa"/>
            <w:vAlign w:val="center"/>
          </w:tcPr>
          <w:p>
            <w:pPr>
              <w:spacing w:line="540" w:lineRule="exact"/>
              <w:jc w:val="center"/>
              <w:rPr>
                <w:rFonts w:ascii="仿宋_GB2312" w:hAnsi="仿宋_GB2312" w:eastAsia="仿宋_GB2312" w:cs="仿宋_GB2312"/>
                <w:sz w:val="32"/>
                <w:szCs w:val="32"/>
              </w:rPr>
            </w:pPr>
          </w:p>
        </w:tc>
        <w:tc>
          <w:tcPr>
            <w:tcW w:w="2457"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89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64" w:type="dxa"/>
            <w:vAlign w:val="center"/>
          </w:tcPr>
          <w:p>
            <w:pPr>
              <w:spacing w:line="540" w:lineRule="exact"/>
              <w:jc w:val="center"/>
              <w:rPr>
                <w:rFonts w:ascii="仿宋_GB2312" w:hAnsi="仿宋_GB2312" w:eastAsia="仿宋_GB2312" w:cs="仿宋_GB2312"/>
                <w:sz w:val="32"/>
                <w:szCs w:val="32"/>
              </w:rPr>
            </w:pPr>
          </w:p>
        </w:tc>
        <w:tc>
          <w:tcPr>
            <w:tcW w:w="2457" w:type="dxa"/>
            <w:vMerge w:val="continue"/>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896" w:type="dxa"/>
            <w:vAlign w:val="center"/>
          </w:tcPr>
          <w:p>
            <w:pPr>
              <w:spacing w:line="540" w:lineRule="exact"/>
              <w:jc w:val="center"/>
              <w:rPr>
                <w:rFonts w:ascii="仿宋_GB2312" w:hAnsi="仿宋_GB2312" w:eastAsia="仿宋_GB2312" w:cs="仿宋_GB2312"/>
                <w:sz w:val="32"/>
                <w:szCs w:val="32"/>
              </w:rPr>
            </w:pPr>
          </w:p>
        </w:tc>
        <w:tc>
          <w:tcPr>
            <w:tcW w:w="1164"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896" w:type="dxa"/>
            <w:vAlign w:val="center"/>
          </w:tcPr>
          <w:p>
            <w:pPr>
              <w:spacing w:line="540" w:lineRule="exact"/>
              <w:jc w:val="center"/>
              <w:rPr>
                <w:rFonts w:ascii="仿宋_GB2312" w:hAnsi="仿宋_GB2312" w:eastAsia="仿宋_GB2312" w:cs="仿宋_GB2312"/>
                <w:sz w:val="32"/>
                <w:szCs w:val="32"/>
              </w:rPr>
            </w:pPr>
          </w:p>
        </w:tc>
        <w:tc>
          <w:tcPr>
            <w:tcW w:w="1164"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896" w:type="dxa"/>
            <w:vAlign w:val="center"/>
          </w:tcPr>
          <w:p>
            <w:pPr>
              <w:spacing w:line="540" w:lineRule="exact"/>
              <w:jc w:val="center"/>
              <w:rPr>
                <w:rFonts w:ascii="仿宋_GB2312" w:hAnsi="仿宋_GB2312" w:eastAsia="仿宋_GB2312" w:cs="仿宋_GB2312"/>
                <w:sz w:val="32"/>
                <w:szCs w:val="32"/>
              </w:rPr>
            </w:pPr>
          </w:p>
        </w:tc>
        <w:tc>
          <w:tcPr>
            <w:tcW w:w="1164"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896" w:type="dxa"/>
            <w:vAlign w:val="center"/>
          </w:tcPr>
          <w:p>
            <w:pPr>
              <w:spacing w:line="540" w:lineRule="exact"/>
              <w:jc w:val="center"/>
              <w:rPr>
                <w:rFonts w:ascii="仿宋_GB2312" w:hAnsi="仿宋_GB2312" w:eastAsia="仿宋_GB2312" w:cs="仿宋_GB2312"/>
                <w:sz w:val="32"/>
                <w:szCs w:val="32"/>
              </w:rPr>
            </w:pPr>
          </w:p>
        </w:tc>
        <w:tc>
          <w:tcPr>
            <w:tcW w:w="1164" w:type="dxa"/>
            <w:vAlign w:val="center"/>
          </w:tcPr>
          <w:p>
            <w:pPr>
              <w:spacing w:line="540" w:lineRule="exact"/>
              <w:jc w:val="center"/>
              <w:rPr>
                <w:rFonts w:ascii="仿宋_GB2312" w:hAnsi="仿宋_GB2312" w:eastAsia="仿宋_GB2312" w:cs="仿宋_GB2312"/>
                <w:sz w:val="32"/>
                <w:szCs w:val="32"/>
              </w:rPr>
            </w:pPr>
          </w:p>
        </w:tc>
        <w:tc>
          <w:tcPr>
            <w:tcW w:w="2457" w:type="dxa"/>
            <w:vAlign w:val="center"/>
          </w:tcPr>
          <w:p>
            <w:pPr>
              <w:spacing w:line="540" w:lineRule="exact"/>
              <w:jc w:val="center"/>
              <w:rPr>
                <w:rFonts w:ascii="仿宋_GB2312" w:hAnsi="仿宋_GB2312" w:eastAsia="仿宋_GB2312" w:cs="仿宋_GB2312"/>
                <w:sz w:val="32"/>
                <w:szCs w:val="32"/>
              </w:rPr>
            </w:pPr>
          </w:p>
        </w:tc>
        <w:tc>
          <w:tcPr>
            <w:tcW w:w="3338" w:type="dxa"/>
            <w:vAlign w:val="center"/>
          </w:tcPr>
          <w:p>
            <w:pPr>
              <w:spacing w:line="540" w:lineRule="exact"/>
              <w:jc w:val="center"/>
              <w:rPr>
                <w:rFonts w:ascii="仿宋_GB2312" w:hAnsi="仿宋_GB2312" w:eastAsia="仿宋_GB2312" w:cs="仿宋_GB2312"/>
                <w:sz w:val="32"/>
                <w:szCs w:val="32"/>
              </w:rPr>
            </w:pPr>
          </w:p>
        </w:tc>
        <w:tc>
          <w:tcPr>
            <w:tcW w:w="2383" w:type="dxa"/>
            <w:vAlign w:val="center"/>
          </w:tcPr>
          <w:p>
            <w:pPr>
              <w:spacing w:line="540" w:lineRule="exact"/>
              <w:jc w:val="center"/>
              <w:rPr>
                <w:rFonts w:ascii="仿宋_GB2312" w:hAnsi="仿宋_GB2312" w:eastAsia="仿宋_GB2312" w:cs="仿宋_GB2312"/>
                <w:sz w:val="32"/>
                <w:szCs w:val="32"/>
              </w:rPr>
            </w:pPr>
          </w:p>
        </w:tc>
        <w:tc>
          <w:tcPr>
            <w:tcW w:w="1380" w:type="dxa"/>
            <w:vAlign w:val="center"/>
          </w:tcPr>
          <w:p>
            <w:pPr>
              <w:spacing w:line="540" w:lineRule="exact"/>
              <w:jc w:val="left"/>
              <w:rPr>
                <w:rFonts w:ascii="仿宋_GB2312" w:hAnsi="仿宋_GB2312" w:eastAsia="仿宋_GB2312" w:cs="仿宋_GB2312"/>
                <w:sz w:val="32"/>
                <w:szCs w:val="32"/>
              </w:rPr>
            </w:pPr>
          </w:p>
        </w:tc>
        <w:tc>
          <w:tcPr>
            <w:tcW w:w="1081" w:type="dxa"/>
            <w:vAlign w:val="center"/>
          </w:tcPr>
          <w:p>
            <w:pPr>
              <w:spacing w:line="540" w:lineRule="exact"/>
              <w:jc w:val="center"/>
              <w:rPr>
                <w:rFonts w:ascii="仿宋_GB2312" w:hAnsi="仿宋_GB2312" w:eastAsia="仿宋_GB2312" w:cs="仿宋_GB2312"/>
                <w:sz w:val="32"/>
                <w:szCs w:val="32"/>
              </w:rPr>
            </w:pPr>
          </w:p>
        </w:tc>
        <w:tc>
          <w:tcPr>
            <w:tcW w:w="1481" w:type="dxa"/>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 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表十（其他）12项</w:t>
      </w:r>
    </w:p>
    <w:tbl>
      <w:tblPr>
        <w:tblStyle w:val="5"/>
        <w:tblW w:w="14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985"/>
        <w:gridCol w:w="992"/>
        <w:gridCol w:w="5953"/>
        <w:gridCol w:w="2410"/>
        <w:gridCol w:w="1559"/>
        <w:gridCol w:w="993"/>
        <w:gridCol w:w="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8" w:hRule="atLeast"/>
        </w:trPr>
        <w:tc>
          <w:tcPr>
            <w:tcW w:w="68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8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99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595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41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55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9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56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1</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00711217941000001000440823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地方志资料征集</w:t>
            </w:r>
          </w:p>
        </w:tc>
        <w:tc>
          <w:tcPr>
            <w:tcW w:w="5953"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【行政法规】</w:t>
            </w:r>
            <w:r>
              <w:rPr>
                <w:rStyle w:val="10"/>
                <w:rFonts w:hint="default" w:ascii="仿宋" w:hAnsi="仿宋" w:eastAsia="仿宋" w:cs="仿宋"/>
                <w:sz w:val="21"/>
                <w:szCs w:val="21"/>
              </w:rPr>
              <w:t>《地方志工作条例》（2006年国务院令第467号）</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第十一条 </w:t>
            </w:r>
            <w:r>
              <w:rPr>
                <w:rFonts w:hint="eastAsia" w:ascii="仿宋" w:hAnsi="仿宋" w:eastAsia="仿宋" w:cs="仿宋"/>
                <w:b/>
                <w:color w:val="000000"/>
                <w:kern w:val="0"/>
                <w:szCs w:val="21"/>
              </w:rPr>
              <w:t>县级以上地方人民政府负责地方志工作的机构</w:t>
            </w:r>
            <w:r>
              <w:rPr>
                <w:rStyle w:val="10"/>
                <w:rFonts w:hint="default" w:ascii="仿宋" w:hAnsi="仿宋" w:eastAsia="仿宋" w:cs="仿宋"/>
                <w:sz w:val="21"/>
                <w:szCs w:val="21"/>
              </w:rPr>
              <w:t>可以向机关、社会团体、企事业单位、其他组织以及个人征集有关地方志资料，有关单位和个人应当提供支持。负责地方志工作的机构可以对有关资料进行查阅、摘抄、复制，但涉及国家秘密、商业秘密和个人隐私以及不符合开放条件的除外。</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地方志资料所有人或者持有人提供有关资料，可以获得适当报酬。地方志资料所有人或者持有人不得故意提供虚假资料。</w:t>
            </w:r>
          </w:p>
        </w:tc>
        <w:tc>
          <w:tcPr>
            <w:tcW w:w="2410" w:type="dxa"/>
          </w:tcPr>
          <w:p>
            <w:pPr>
              <w:widowControl/>
              <w:spacing w:line="260" w:lineRule="exact"/>
              <w:jc w:val="left"/>
              <w:textAlignment w:val="top"/>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 xml:space="preserve">根据地方志工作规划，分年度、分类别制定地方志资料征集工作计划。             </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2．督促责任：</w:t>
            </w:r>
            <w:r>
              <w:rPr>
                <w:rFonts w:hint="eastAsia" w:ascii="仿宋" w:hAnsi="仿宋" w:eastAsia="仿宋" w:cs="仿宋"/>
                <w:color w:val="000000"/>
                <w:kern w:val="0"/>
                <w:szCs w:val="21"/>
              </w:rPr>
              <w:t xml:space="preserve">组织专业人员对征集的资料进行价值鉴定。     </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3．移交责任：</w:t>
            </w:r>
            <w:r>
              <w:rPr>
                <w:rFonts w:hint="eastAsia" w:ascii="仿宋" w:hAnsi="仿宋" w:eastAsia="仿宋" w:cs="仿宋"/>
                <w:color w:val="000000"/>
                <w:kern w:val="0"/>
                <w:szCs w:val="21"/>
              </w:rPr>
              <w:t xml:space="preserve">编纂工作结束，将征集资料移交单位资料室、方志馆保管、管理。                           </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8"/>
                <w:rFonts w:hint="default" w:ascii="仿宋" w:hAnsi="仿宋" w:eastAsia="仿宋" w:cs="仿宋"/>
                <w:sz w:val="21"/>
                <w:szCs w:val="21"/>
              </w:rPr>
              <w:t xml:space="preserve">《地方志工作条例》（2006年国务院令第467号）第十一条。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2</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00711217941000002000440823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地方志工作督促</w:t>
            </w:r>
          </w:p>
        </w:tc>
        <w:tc>
          <w:tcPr>
            <w:tcW w:w="5953" w:type="dxa"/>
            <w:vAlign w:val="center"/>
          </w:tcPr>
          <w:p>
            <w:pPr>
              <w:widowControl/>
              <w:spacing w:line="260" w:lineRule="exact"/>
              <w:jc w:val="left"/>
              <w:textAlignment w:val="center"/>
              <w:rPr>
                <w:rStyle w:val="10"/>
                <w:rFonts w:hint="default" w:ascii="仿宋" w:hAnsi="仿宋" w:eastAsia="仿宋" w:cs="仿宋"/>
                <w:sz w:val="21"/>
                <w:szCs w:val="21"/>
              </w:rPr>
            </w:pPr>
            <w:r>
              <w:rPr>
                <w:rFonts w:hint="eastAsia" w:ascii="仿宋" w:hAnsi="仿宋" w:eastAsia="仿宋" w:cs="仿宋"/>
                <w:b/>
                <w:color w:val="000000"/>
                <w:kern w:val="0"/>
                <w:szCs w:val="21"/>
              </w:rPr>
              <w:t>【地方政府规章】</w:t>
            </w:r>
            <w:r>
              <w:rPr>
                <w:rStyle w:val="10"/>
                <w:rFonts w:hint="default" w:ascii="仿宋" w:hAnsi="仿宋" w:eastAsia="仿宋" w:cs="仿宋"/>
                <w:sz w:val="21"/>
                <w:szCs w:val="21"/>
              </w:rPr>
              <w:t xml:space="preserve">《广东省地方志工作规定》（2007年粤府令第120号）                                                                                          </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第十八条 机关、社会团体和其他组织有下列行为之一的，由县级以上人民政府地方志工作机构督促其限期改正；逾期不改的，由</w:t>
            </w:r>
            <w:r>
              <w:rPr>
                <w:rFonts w:hint="eastAsia" w:ascii="仿宋" w:hAnsi="仿宋" w:eastAsia="仿宋" w:cs="仿宋"/>
                <w:b/>
                <w:color w:val="000000"/>
                <w:kern w:val="0"/>
                <w:szCs w:val="21"/>
              </w:rPr>
              <w:t>县级以上人民政府地方志工作机构</w:t>
            </w:r>
            <w:r>
              <w:rPr>
                <w:rStyle w:val="10"/>
                <w:rFonts w:hint="default" w:ascii="仿宋" w:hAnsi="仿宋" w:eastAsia="仿宋" w:cs="仿宋"/>
                <w:sz w:val="21"/>
                <w:szCs w:val="21"/>
              </w:rPr>
              <w:t>提请本级人民政府或者其上级主管部门，对直接负责的主管人员和其他直接责任人员依法给予行政处分：</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（一）拒绝承担地方志编纂任务或者无故拖延地方志资料报送的；</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（二）拒不执行</w:t>
            </w:r>
            <w:r>
              <w:rPr>
                <w:rFonts w:hint="eastAsia" w:ascii="仿宋" w:hAnsi="仿宋" w:eastAsia="仿宋" w:cs="仿宋"/>
                <w:b/>
                <w:color w:val="000000"/>
                <w:kern w:val="0"/>
                <w:szCs w:val="21"/>
              </w:rPr>
              <w:t>县级以上人民政府及其地方志工作机构</w:t>
            </w:r>
            <w:r>
              <w:rPr>
                <w:rStyle w:val="10"/>
                <w:rFonts w:hint="default" w:ascii="仿宋" w:hAnsi="仿宋" w:eastAsia="仿宋" w:cs="仿宋"/>
                <w:sz w:val="21"/>
                <w:szCs w:val="21"/>
              </w:rPr>
              <w:t>的督促检查意见的；　</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（三）拒不接受地方志书审查机构提出的关系志书质量重大问题的意见的；　</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（四）故意提供虚假地方志资料的。</w:t>
            </w:r>
          </w:p>
          <w:p>
            <w:pPr>
              <w:widowControl/>
              <w:spacing w:line="260" w:lineRule="exact"/>
              <w:jc w:val="left"/>
              <w:textAlignment w:val="center"/>
              <w:rPr>
                <w:rFonts w:ascii="仿宋" w:hAnsi="仿宋" w:eastAsia="仿宋" w:cs="仿宋"/>
                <w:szCs w:val="21"/>
              </w:rPr>
            </w:pP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 xml:space="preserve">指导和督促地方志、年鉴编纂工作的形式、方法和进程。                                </w:t>
            </w:r>
            <w:r>
              <w:rPr>
                <w:rFonts w:hint="eastAsia" w:ascii="仿宋" w:hAnsi="仿宋" w:eastAsia="仿宋" w:cs="仿宋"/>
                <w:b/>
                <w:color w:val="000000"/>
                <w:kern w:val="0"/>
                <w:szCs w:val="21"/>
              </w:rPr>
              <w:t>2。督促责任：</w:t>
            </w:r>
            <w:r>
              <w:rPr>
                <w:rFonts w:hint="eastAsia" w:ascii="仿宋" w:hAnsi="仿宋" w:eastAsia="仿宋" w:cs="仿宋"/>
                <w:color w:val="000000"/>
                <w:kern w:val="0"/>
                <w:szCs w:val="21"/>
              </w:rPr>
              <w:t>制定地方志工作编纂方案，督促志稿、年鉴文稿质量、工作进度等，推动按时按质完成任务。</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10"/>
                <w:rFonts w:hint="default" w:ascii="仿宋" w:hAnsi="仿宋" w:eastAsia="仿宋" w:cs="仿宋"/>
                <w:sz w:val="21"/>
                <w:szCs w:val="21"/>
              </w:rPr>
              <w:t>《广东省地方志工作规定》（2007年粤府令第120号）第十八条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8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99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595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41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55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9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56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3</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00711217941000003000440823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地方志编纂业务指导</w:t>
            </w:r>
          </w:p>
        </w:tc>
        <w:tc>
          <w:tcPr>
            <w:tcW w:w="5953" w:type="dxa"/>
            <w:vAlign w:val="center"/>
          </w:tcPr>
          <w:p>
            <w:pPr>
              <w:widowControl/>
              <w:spacing w:line="260" w:lineRule="exact"/>
              <w:jc w:val="left"/>
              <w:textAlignment w:val="center"/>
              <w:rPr>
                <w:rFonts w:ascii="仿宋" w:hAnsi="仿宋" w:eastAsia="仿宋" w:cs="仿宋"/>
                <w:b/>
                <w:color w:val="000000"/>
                <w:kern w:val="0"/>
                <w:szCs w:val="21"/>
              </w:rPr>
            </w:pPr>
          </w:p>
          <w:p>
            <w:pPr>
              <w:widowControl/>
              <w:spacing w:line="260" w:lineRule="exact"/>
              <w:jc w:val="left"/>
              <w:textAlignment w:val="center"/>
              <w:rPr>
                <w:rFonts w:ascii="仿宋" w:hAnsi="仿宋" w:eastAsia="仿宋" w:cs="仿宋"/>
                <w:color w:val="000000"/>
                <w:kern w:val="0"/>
                <w:szCs w:val="21"/>
              </w:rPr>
            </w:pPr>
            <w:r>
              <w:rPr>
                <w:rFonts w:hint="eastAsia" w:ascii="仿宋" w:hAnsi="仿宋" w:eastAsia="仿宋" w:cs="仿宋"/>
                <w:b/>
                <w:color w:val="000000"/>
                <w:kern w:val="0"/>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第六条本省各级机关、社会团体、企事业单位和其他组织，以及中直驻粤、省驻各地单位，应当按照所在地人民政府的地方志工作规划，确定机构和人员，参与地方志编纂，并接受</w:t>
            </w:r>
            <w:r>
              <w:rPr>
                <w:rStyle w:val="11"/>
                <w:rFonts w:hint="default" w:ascii="仿宋" w:hAnsi="仿宋" w:eastAsia="仿宋" w:cs="仿宋"/>
                <w:sz w:val="21"/>
                <w:szCs w:val="21"/>
              </w:rPr>
              <w:t>所在地人民政府地方志工作机构</w:t>
            </w:r>
            <w:r>
              <w:rPr>
                <w:rFonts w:hint="eastAsia" w:ascii="仿宋" w:hAnsi="仿宋" w:eastAsia="仿宋" w:cs="仿宋"/>
                <w:color w:val="000000"/>
                <w:kern w:val="0"/>
                <w:szCs w:val="21"/>
              </w:rPr>
              <w:t>的业务指导和督促检查。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按照地方志工作规划承担地方志书编纂任务的机关、社会团体、企事业单位和其他组织，编纂地方志书所需经费应当列入单位年度预算。属当地人民政府财政预算单位的，由人民政府财政部门征求</w:t>
            </w:r>
            <w:r>
              <w:rPr>
                <w:rStyle w:val="11"/>
                <w:rFonts w:hint="default" w:ascii="仿宋" w:hAnsi="仿宋" w:eastAsia="仿宋" w:cs="仿宋"/>
                <w:sz w:val="21"/>
                <w:szCs w:val="21"/>
              </w:rPr>
              <w:t>本级人民政府地方志工作机构</w:t>
            </w:r>
            <w:r>
              <w:rPr>
                <w:rFonts w:hint="eastAsia" w:ascii="仿宋" w:hAnsi="仿宋" w:eastAsia="仿宋" w:cs="仿宋"/>
                <w:color w:val="000000"/>
                <w:kern w:val="0"/>
                <w:szCs w:val="21"/>
              </w:rPr>
              <w:t>意见后核拨;不属当地人民政府财政预算单位的，由人民政府地方志工作机构统一编制预算，人民政府财政部门向</w:t>
            </w:r>
            <w:r>
              <w:rPr>
                <w:rStyle w:val="11"/>
                <w:rFonts w:hint="default" w:ascii="仿宋" w:hAnsi="仿宋" w:eastAsia="仿宋" w:cs="仿宋"/>
                <w:sz w:val="21"/>
                <w:szCs w:val="21"/>
              </w:rPr>
              <w:t>人民政府地方志工作机构</w:t>
            </w:r>
            <w:r>
              <w:rPr>
                <w:rFonts w:hint="eastAsia" w:ascii="仿宋" w:hAnsi="仿宋" w:eastAsia="仿宋" w:cs="仿宋"/>
                <w:color w:val="000000"/>
                <w:kern w:val="0"/>
                <w:szCs w:val="21"/>
              </w:rPr>
              <w:t>核拨，再由</w:t>
            </w:r>
            <w:r>
              <w:rPr>
                <w:rStyle w:val="11"/>
                <w:rFonts w:hint="default" w:ascii="仿宋" w:hAnsi="仿宋" w:eastAsia="仿宋" w:cs="仿宋"/>
                <w:sz w:val="21"/>
                <w:szCs w:val="21"/>
              </w:rPr>
              <w:t>人民政府地方志工作机构</w:t>
            </w:r>
            <w:r>
              <w:rPr>
                <w:rFonts w:hint="eastAsia" w:ascii="仿宋" w:hAnsi="仿宋" w:eastAsia="仿宋" w:cs="仿宋"/>
                <w:color w:val="000000"/>
                <w:kern w:val="0"/>
                <w:szCs w:val="21"/>
              </w:rPr>
              <w:t>向有关单位发放。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w:t>
            </w:r>
          </w:p>
          <w:p>
            <w:pPr>
              <w:widowControl/>
              <w:spacing w:line="260" w:lineRule="exact"/>
              <w:jc w:val="left"/>
              <w:textAlignment w:val="center"/>
              <w:rPr>
                <w:rFonts w:ascii="仿宋" w:hAnsi="仿宋" w:eastAsia="仿宋" w:cs="仿宋"/>
                <w:color w:val="000000"/>
                <w:kern w:val="0"/>
                <w:szCs w:val="21"/>
              </w:rPr>
            </w:pP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 xml:space="preserve">加强地方志编纂工作的业务指导，建立组织沟通联络平台。                              </w:t>
            </w:r>
            <w:r>
              <w:rPr>
                <w:rFonts w:hint="eastAsia" w:ascii="仿宋" w:hAnsi="仿宋" w:eastAsia="仿宋" w:cs="仿宋"/>
                <w:b/>
                <w:color w:val="000000"/>
                <w:kern w:val="0"/>
                <w:szCs w:val="21"/>
              </w:rPr>
              <w:t>2.指导责任：</w:t>
            </w:r>
            <w:r>
              <w:rPr>
                <w:rFonts w:hint="eastAsia" w:ascii="仿宋" w:hAnsi="仿宋" w:eastAsia="仿宋" w:cs="仿宋"/>
                <w:color w:val="000000"/>
                <w:kern w:val="0"/>
                <w:szCs w:val="21"/>
              </w:rPr>
              <w:t>不定期开展业务培训、指导，规范地方志编纂，确保志稿质量。</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10"/>
                <w:rFonts w:hint="default" w:ascii="仿宋" w:hAnsi="仿宋" w:eastAsia="仿宋" w:cs="仿宋"/>
                <w:sz w:val="21"/>
                <w:szCs w:val="21"/>
              </w:rPr>
              <w:t>《广东省地方志工作规定》（2007年粤府令第120号）第六条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4</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00711217941000004000440823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 xml:space="preserve">部门志、行业志、部门年鉴、行业年鉴编纂业务指导 </w:t>
            </w:r>
          </w:p>
        </w:tc>
        <w:tc>
          <w:tcPr>
            <w:tcW w:w="5953" w:type="dxa"/>
            <w:vAlign w:val="center"/>
          </w:tcPr>
          <w:p>
            <w:pPr>
              <w:widowControl/>
              <w:spacing w:line="260" w:lineRule="exact"/>
              <w:jc w:val="left"/>
              <w:textAlignment w:val="center"/>
              <w:rPr>
                <w:rFonts w:ascii="仿宋" w:hAnsi="仿宋" w:eastAsia="仿宋" w:cs="仿宋"/>
                <w:color w:val="000000"/>
                <w:kern w:val="0"/>
                <w:szCs w:val="21"/>
              </w:rPr>
            </w:pPr>
            <w:r>
              <w:rPr>
                <w:rFonts w:hint="eastAsia" w:ascii="仿宋" w:hAnsi="仿宋" w:eastAsia="仿宋" w:cs="仿宋"/>
                <w:b/>
                <w:color w:val="000000"/>
                <w:kern w:val="0"/>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第十四条　编纂以乡镇行政区域名称冠名的地方志书和地方综合年鉴，应当由所在的乡镇人民政府主持，并接受</w:t>
            </w:r>
            <w:r>
              <w:rPr>
                <w:rStyle w:val="11"/>
                <w:rFonts w:hint="default" w:ascii="仿宋" w:hAnsi="仿宋" w:eastAsia="仿宋" w:cs="仿宋"/>
                <w:sz w:val="21"/>
                <w:szCs w:val="21"/>
              </w:rPr>
              <w:t>上一级人民政府地方志工作机构</w:t>
            </w:r>
            <w:r>
              <w:rPr>
                <w:rFonts w:hint="eastAsia" w:ascii="仿宋" w:hAnsi="仿宋" w:eastAsia="仿宋" w:cs="仿宋"/>
                <w:color w:val="000000"/>
                <w:kern w:val="0"/>
                <w:szCs w:val="21"/>
              </w:rPr>
              <w:t>的业务指导。乡镇地方志书经上一级人民政府地方志工作机构审查验收后，方可以公开出版；乡镇综合年鉴经同级人民政府批准，方可以公开出版。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编纂以县级以上行政区域名称冠名的部门志、行业志、部门年鉴和行业年鉴，应当接受</w:t>
            </w:r>
            <w:r>
              <w:rPr>
                <w:rStyle w:val="11"/>
                <w:rFonts w:hint="default" w:ascii="仿宋" w:hAnsi="仿宋" w:eastAsia="仿宋" w:cs="仿宋"/>
                <w:sz w:val="21"/>
                <w:szCs w:val="21"/>
              </w:rPr>
              <w:t>本级人民政府地方志工作机构</w:t>
            </w:r>
            <w:r>
              <w:rPr>
                <w:rFonts w:hint="eastAsia" w:ascii="仿宋" w:hAnsi="仿宋" w:eastAsia="仿宋" w:cs="仿宋"/>
                <w:color w:val="000000"/>
                <w:kern w:val="0"/>
                <w:szCs w:val="21"/>
              </w:rPr>
              <w:t>的业务指导。</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前两款的志书和年鉴公开出版后3个月内应当分别报送</w:t>
            </w:r>
            <w:r>
              <w:rPr>
                <w:rStyle w:val="11"/>
                <w:rFonts w:hint="default" w:ascii="仿宋" w:hAnsi="仿宋" w:eastAsia="仿宋" w:cs="仿宋"/>
                <w:sz w:val="21"/>
                <w:szCs w:val="21"/>
              </w:rPr>
              <w:t>县级以上各级人民政府地方志工作机构</w:t>
            </w:r>
            <w:r>
              <w:rPr>
                <w:rFonts w:hint="eastAsia" w:ascii="仿宋" w:hAnsi="仿宋" w:eastAsia="仿宋" w:cs="仿宋"/>
                <w:color w:val="000000"/>
                <w:kern w:val="0"/>
                <w:szCs w:val="21"/>
              </w:rPr>
              <w:t>备案。</w:t>
            </w:r>
          </w:p>
          <w:p>
            <w:pPr>
              <w:widowControl/>
              <w:spacing w:line="260" w:lineRule="exact"/>
              <w:jc w:val="left"/>
              <w:textAlignment w:val="center"/>
              <w:rPr>
                <w:rFonts w:ascii="仿宋" w:hAnsi="仿宋" w:eastAsia="仿宋" w:cs="仿宋"/>
                <w:color w:val="000000"/>
                <w:kern w:val="0"/>
                <w:szCs w:val="21"/>
              </w:rPr>
            </w:pPr>
          </w:p>
          <w:p>
            <w:pPr>
              <w:widowControl/>
              <w:spacing w:line="260" w:lineRule="exact"/>
              <w:jc w:val="left"/>
              <w:textAlignment w:val="center"/>
              <w:rPr>
                <w:rFonts w:ascii="仿宋" w:hAnsi="仿宋" w:eastAsia="仿宋" w:cs="仿宋"/>
                <w:color w:val="000000"/>
                <w:kern w:val="0"/>
                <w:szCs w:val="21"/>
              </w:rPr>
            </w:pPr>
          </w:p>
          <w:p>
            <w:pPr>
              <w:widowControl/>
              <w:spacing w:line="260" w:lineRule="exact"/>
              <w:jc w:val="left"/>
              <w:textAlignment w:val="center"/>
              <w:rPr>
                <w:rFonts w:ascii="仿宋" w:hAnsi="仿宋" w:eastAsia="仿宋" w:cs="仿宋"/>
                <w:color w:val="000000"/>
                <w:kern w:val="0"/>
                <w:szCs w:val="21"/>
              </w:rPr>
            </w:pP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 xml:space="preserve">加强县各单位地方志、年鉴编纂工作的业务指导，建立组织沟通联系平台。      </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2.指导责任：</w:t>
            </w:r>
            <w:r>
              <w:rPr>
                <w:rFonts w:hint="eastAsia" w:ascii="仿宋" w:hAnsi="仿宋" w:eastAsia="仿宋" w:cs="仿宋"/>
                <w:color w:val="000000"/>
                <w:kern w:val="0"/>
                <w:szCs w:val="21"/>
              </w:rPr>
              <w:t>不定期开展业务培训、指导，确保志稿、年鉴文稿质量。</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10"/>
                <w:rFonts w:hint="default" w:ascii="仿宋" w:hAnsi="仿宋" w:eastAsia="仿宋" w:cs="仿宋"/>
                <w:sz w:val="21"/>
                <w:szCs w:val="21"/>
              </w:rPr>
              <w:t>《广东省地方志工作规定》（2007年粤府令第120号）第十四条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8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99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595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41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55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9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56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5</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00711217941000005000440823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地方志工作规划报备</w:t>
            </w:r>
          </w:p>
        </w:tc>
        <w:tc>
          <w:tcPr>
            <w:tcW w:w="5953"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Style w:val="10"/>
                <w:rFonts w:hint="default" w:ascii="仿宋" w:hAnsi="仿宋" w:eastAsia="仿宋" w:cs="仿宋"/>
                <w:sz w:val="21"/>
                <w:szCs w:val="21"/>
              </w:rPr>
              <w:t>第四条　县级以上人民政府应当加强对本行政区域地方志工作的领导，将地方志工作纳入当地经济社会发展规划和年度工作计划，把地方志工作所需经费列入本级财政预算，健全地方志工作机构，保障地方志工作条件。</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县级以上人民政府制定本行政区域地方志工作规划，并报上一级人民政府地方志工作机构和省人民政府地方志工作机构备案。</w:t>
            </w: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 xml:space="preserve">拟定地方志工作编纂方案，明确地方志工作的具体目标、业务和要求。                 </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2.受理责任：</w:t>
            </w:r>
            <w:r>
              <w:rPr>
                <w:rFonts w:hint="eastAsia" w:ascii="仿宋" w:hAnsi="仿宋" w:eastAsia="仿宋" w:cs="仿宋"/>
                <w:color w:val="000000"/>
                <w:kern w:val="0"/>
                <w:szCs w:val="21"/>
              </w:rPr>
              <w:t>制定全市地方志工作规划，将地方志工作纳入县经济社会发展规划和年度工作计划，并报呈县政府、市政府地方志办备案。</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10"/>
                <w:rFonts w:hint="default" w:ascii="仿宋" w:hAnsi="仿宋" w:eastAsia="仿宋" w:cs="仿宋"/>
                <w:sz w:val="21"/>
                <w:szCs w:val="21"/>
              </w:rPr>
              <w:t>《广东省地方志工作规定》（2007年粤府令第120号）第四条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6</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00711217941000006000440823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地方志书备案</w:t>
            </w:r>
          </w:p>
        </w:tc>
        <w:tc>
          <w:tcPr>
            <w:tcW w:w="5953" w:type="dxa"/>
            <w:vAlign w:val="center"/>
          </w:tcPr>
          <w:p>
            <w:pPr>
              <w:widowControl/>
              <w:spacing w:line="260" w:lineRule="exact"/>
              <w:jc w:val="left"/>
              <w:textAlignment w:val="center"/>
              <w:rPr>
                <w:rStyle w:val="10"/>
                <w:rFonts w:hint="default" w:ascii="仿宋" w:hAnsi="仿宋" w:eastAsia="仿宋" w:cs="仿宋"/>
                <w:sz w:val="21"/>
                <w:szCs w:val="21"/>
              </w:rPr>
            </w:pPr>
            <w:r>
              <w:rPr>
                <w:rFonts w:hint="eastAsia" w:ascii="仿宋" w:hAnsi="仿宋" w:eastAsia="仿宋" w:cs="仿宋"/>
                <w:b/>
                <w:color w:val="000000"/>
                <w:kern w:val="0"/>
                <w:szCs w:val="21"/>
              </w:rPr>
              <w:t>【行政法规】</w:t>
            </w:r>
            <w:r>
              <w:rPr>
                <w:rFonts w:hint="eastAsia" w:ascii="仿宋" w:hAnsi="仿宋" w:eastAsia="仿宋" w:cs="仿宋"/>
                <w:color w:val="000000"/>
                <w:kern w:val="0"/>
                <w:szCs w:val="21"/>
              </w:rPr>
              <w:t>《地方志工作条例》（2006年国务院令第467号）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第十四条 </w:t>
            </w:r>
            <w:r>
              <w:rPr>
                <w:rStyle w:val="10"/>
                <w:rFonts w:hint="default" w:ascii="仿宋" w:hAnsi="仿宋" w:eastAsia="仿宋" w:cs="仿宋"/>
                <w:sz w:val="21"/>
                <w:szCs w:val="21"/>
              </w:rPr>
              <w:t>地方志应当在出版后3个月内报送上级人民政府负责地方志工作的机构备案。</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在地方志编纂过程中收集到的文字资料、图表、照片、音像资料、实物等以及形成的地方志文稿，由</w:t>
            </w:r>
            <w:r>
              <w:rPr>
                <w:rFonts w:hint="eastAsia" w:ascii="仿宋" w:hAnsi="仿宋" w:eastAsia="仿宋" w:cs="仿宋"/>
                <w:b/>
                <w:color w:val="000000"/>
                <w:kern w:val="0"/>
                <w:szCs w:val="21"/>
              </w:rPr>
              <w:t>本级人民政府负责地方志工作的机构</w:t>
            </w:r>
            <w:r>
              <w:rPr>
                <w:rStyle w:val="10"/>
                <w:rFonts w:hint="default" w:ascii="仿宋" w:hAnsi="仿宋" w:eastAsia="仿宋" w:cs="仿宋"/>
                <w:sz w:val="21"/>
                <w:szCs w:val="21"/>
              </w:rPr>
              <w:t>指定专职人员集中统一管理，妥善保存，不得损毁；修志工作完成后，应当依法移交本级国家档案馆或者方志馆保存、管理，个人不得据为己有或者出租、出让、转借。</w:t>
            </w:r>
            <w:r>
              <w:rPr>
                <w:rStyle w:val="10"/>
                <w:rFonts w:hint="default" w:ascii="仿宋" w:hAnsi="仿宋" w:eastAsia="仿宋" w:cs="仿宋"/>
                <w:sz w:val="21"/>
                <w:szCs w:val="21"/>
              </w:rPr>
              <w:br w:type="textWrapping"/>
            </w:r>
            <w:r>
              <w:rPr>
                <w:rFonts w:hint="eastAsia" w:ascii="仿宋" w:hAnsi="仿宋" w:eastAsia="仿宋" w:cs="仿宋"/>
                <w:b/>
                <w:color w:val="000000"/>
                <w:kern w:val="0"/>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Style w:val="10"/>
                <w:rFonts w:hint="default" w:ascii="仿宋" w:hAnsi="仿宋" w:eastAsia="仿宋" w:cs="仿宋"/>
                <w:sz w:val="21"/>
                <w:szCs w:val="21"/>
              </w:rPr>
              <w:t xml:space="preserve">    第十四条 编纂以乡镇行政区域名称冠名的地方志书和地方综合年鉴，应当由所在的乡镇人民政府主持，并接受</w:t>
            </w:r>
            <w:r>
              <w:rPr>
                <w:rFonts w:hint="eastAsia" w:ascii="仿宋" w:hAnsi="仿宋" w:eastAsia="仿宋" w:cs="仿宋"/>
                <w:b/>
                <w:color w:val="000000"/>
                <w:kern w:val="0"/>
                <w:szCs w:val="21"/>
              </w:rPr>
              <w:t>上一级人民政府地方志工作机构</w:t>
            </w:r>
            <w:r>
              <w:rPr>
                <w:rStyle w:val="10"/>
                <w:rFonts w:hint="default" w:ascii="仿宋" w:hAnsi="仿宋" w:eastAsia="仿宋" w:cs="仿宋"/>
                <w:sz w:val="21"/>
                <w:szCs w:val="21"/>
              </w:rPr>
              <w:t>的业务指导。乡镇地方志书经</w:t>
            </w:r>
            <w:r>
              <w:rPr>
                <w:rFonts w:hint="eastAsia" w:ascii="仿宋" w:hAnsi="仿宋" w:eastAsia="仿宋" w:cs="仿宋"/>
                <w:b/>
                <w:color w:val="000000"/>
                <w:kern w:val="0"/>
                <w:szCs w:val="21"/>
              </w:rPr>
              <w:t>上一级人民政府地方志工作机构</w:t>
            </w:r>
            <w:r>
              <w:rPr>
                <w:rStyle w:val="10"/>
                <w:rFonts w:hint="default" w:ascii="仿宋" w:hAnsi="仿宋" w:eastAsia="仿宋" w:cs="仿宋"/>
                <w:sz w:val="21"/>
                <w:szCs w:val="21"/>
              </w:rPr>
              <w:t>审查验收后，方可以公开出版；乡镇综合年鉴经同级人民政府批准，方可以公开出版。</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编纂以县级以上行政区域名称冠名的部门志、行业志、部门年鉴和行业年鉴，应当接受</w:t>
            </w:r>
            <w:r>
              <w:rPr>
                <w:rFonts w:hint="eastAsia" w:ascii="仿宋" w:hAnsi="仿宋" w:eastAsia="仿宋" w:cs="仿宋"/>
                <w:b/>
                <w:color w:val="000000"/>
                <w:kern w:val="0"/>
                <w:szCs w:val="21"/>
              </w:rPr>
              <w:t>本级人民政府地方志工作机构</w:t>
            </w:r>
            <w:r>
              <w:rPr>
                <w:rStyle w:val="10"/>
                <w:rFonts w:hint="default" w:ascii="仿宋" w:hAnsi="仿宋" w:eastAsia="仿宋" w:cs="仿宋"/>
                <w:sz w:val="21"/>
                <w:szCs w:val="21"/>
              </w:rPr>
              <w:t>的业务指导。</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前两款的志书和年鉴公开出版后3个月内应当分别报送</w:t>
            </w:r>
            <w:r>
              <w:rPr>
                <w:rFonts w:hint="eastAsia" w:ascii="仿宋" w:hAnsi="仿宋" w:eastAsia="仿宋" w:cs="仿宋"/>
                <w:b/>
                <w:color w:val="000000"/>
                <w:kern w:val="0"/>
                <w:szCs w:val="21"/>
              </w:rPr>
              <w:t>县级以上各级人民政府地方志工作机构</w:t>
            </w:r>
            <w:r>
              <w:rPr>
                <w:rStyle w:val="10"/>
                <w:rFonts w:hint="default" w:ascii="仿宋" w:hAnsi="仿宋" w:eastAsia="仿宋" w:cs="仿宋"/>
                <w:sz w:val="21"/>
                <w:szCs w:val="21"/>
              </w:rPr>
              <w:t>备案。</w:t>
            </w: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依照规定编制并公布地方志、年鉴出版要求及程序，明确职责范围。</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2.受理责任：</w:t>
            </w:r>
            <w:r>
              <w:rPr>
                <w:rFonts w:hint="eastAsia" w:ascii="仿宋" w:hAnsi="仿宋" w:eastAsia="仿宋" w:cs="仿宋"/>
                <w:color w:val="000000"/>
                <w:kern w:val="0"/>
                <w:szCs w:val="21"/>
              </w:rPr>
              <w:t>对符合出版的地方志、年鉴进行审核登记，在网上、板报上公示，并出具相关证明。</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3.备案责任：</w:t>
            </w:r>
            <w:r>
              <w:rPr>
                <w:rFonts w:hint="eastAsia" w:ascii="仿宋" w:hAnsi="仿宋" w:eastAsia="仿宋" w:cs="仿宋"/>
                <w:color w:val="000000"/>
                <w:kern w:val="0"/>
                <w:szCs w:val="21"/>
              </w:rPr>
              <w:t>编纂出版县级专志（行业志、部门志、乡镇志）和部门年鉴，县地方志办要负责进行业务指导，跟踪做好备案查询工作。</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8"/>
                <w:rFonts w:hint="default" w:ascii="仿宋" w:hAnsi="仿宋" w:eastAsia="仿宋" w:cs="仿宋"/>
                <w:sz w:val="21"/>
                <w:szCs w:val="21"/>
              </w:rPr>
              <w:t>《地方志工作条例》（2006年国务院令第467号）第十四条，</w:t>
            </w:r>
            <w:r>
              <w:rPr>
                <w:rStyle w:val="10"/>
                <w:rFonts w:hint="default" w:ascii="仿宋" w:hAnsi="仿宋" w:eastAsia="仿宋" w:cs="仿宋"/>
                <w:sz w:val="21"/>
                <w:szCs w:val="21"/>
              </w:rPr>
              <w:t>《广东省地方志工作规定》（2007年粤府令第120号）</w:t>
            </w:r>
            <w:r>
              <w:rPr>
                <w:rStyle w:val="8"/>
                <w:rFonts w:hint="default" w:ascii="仿宋" w:hAnsi="仿宋" w:eastAsia="仿宋" w:cs="仿宋"/>
                <w:sz w:val="21"/>
                <w:szCs w:val="21"/>
              </w:rPr>
              <w:t xml:space="preserve">第十四条。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68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8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99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595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41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55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9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56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7</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00711217941000007000440823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修志资料移交</w:t>
            </w:r>
          </w:p>
        </w:tc>
        <w:tc>
          <w:tcPr>
            <w:tcW w:w="5953" w:type="dxa"/>
            <w:vAlign w:val="center"/>
          </w:tcPr>
          <w:p>
            <w:pPr>
              <w:widowControl/>
              <w:spacing w:line="260" w:lineRule="exact"/>
              <w:jc w:val="left"/>
              <w:textAlignment w:val="center"/>
              <w:rPr>
                <w:rStyle w:val="10"/>
                <w:rFonts w:hint="default" w:ascii="仿宋" w:hAnsi="仿宋" w:eastAsia="仿宋" w:cs="仿宋"/>
                <w:sz w:val="21"/>
                <w:szCs w:val="21"/>
              </w:rPr>
            </w:pPr>
            <w:r>
              <w:rPr>
                <w:rFonts w:hint="eastAsia" w:ascii="仿宋" w:hAnsi="仿宋" w:eastAsia="仿宋" w:cs="仿宋"/>
                <w:b/>
                <w:color w:val="000000"/>
                <w:kern w:val="0"/>
                <w:szCs w:val="21"/>
              </w:rPr>
              <w:t>【行政法规】</w:t>
            </w:r>
            <w:r>
              <w:rPr>
                <w:rFonts w:hint="eastAsia" w:ascii="仿宋" w:hAnsi="仿宋" w:eastAsia="仿宋" w:cs="仿宋"/>
                <w:color w:val="000000"/>
                <w:kern w:val="0"/>
                <w:szCs w:val="21"/>
              </w:rPr>
              <w:t>《地方志工作条例》（2006年国务院令第467号）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第十四条 </w:t>
            </w:r>
            <w:r>
              <w:rPr>
                <w:rStyle w:val="10"/>
                <w:rFonts w:hint="default" w:ascii="仿宋" w:hAnsi="仿宋" w:eastAsia="仿宋" w:cs="仿宋"/>
                <w:sz w:val="21"/>
                <w:szCs w:val="21"/>
              </w:rPr>
              <w:t>地方志应当在出版后3个月内报送上级人民政府负责地方志工作的机构备案。</w:t>
            </w:r>
            <w:r>
              <w:rPr>
                <w:rStyle w:val="10"/>
                <w:rFonts w:hint="default" w:ascii="仿宋" w:hAnsi="仿宋" w:eastAsia="仿宋" w:cs="仿宋"/>
                <w:sz w:val="21"/>
                <w:szCs w:val="21"/>
              </w:rPr>
              <w:br w:type="textWrapping"/>
            </w:r>
            <w:r>
              <w:rPr>
                <w:rStyle w:val="10"/>
                <w:rFonts w:hint="default" w:ascii="仿宋" w:hAnsi="仿宋" w:eastAsia="仿宋" w:cs="仿宋"/>
                <w:sz w:val="21"/>
                <w:szCs w:val="21"/>
              </w:rPr>
              <w:t xml:space="preserve">    在地方志编纂过程中收集到的文字资料、图表、照片、音像资料、实物等以及形成的地方志文稿，由</w:t>
            </w:r>
            <w:r>
              <w:rPr>
                <w:rFonts w:hint="eastAsia" w:ascii="仿宋" w:hAnsi="仿宋" w:eastAsia="仿宋" w:cs="仿宋"/>
                <w:b/>
                <w:color w:val="000000"/>
                <w:kern w:val="0"/>
                <w:szCs w:val="21"/>
              </w:rPr>
              <w:t>本级人民政府负责地方志工作的机构</w:t>
            </w:r>
            <w:r>
              <w:rPr>
                <w:rStyle w:val="10"/>
                <w:rFonts w:hint="default" w:ascii="仿宋" w:hAnsi="仿宋" w:eastAsia="仿宋" w:cs="仿宋"/>
                <w:sz w:val="21"/>
                <w:szCs w:val="21"/>
              </w:rPr>
              <w:t>指定专职人员集中统一管理，妥善保存，不得损毁；修志工作完成后，应当依法移交本级国家档案馆或者方志馆保存、管理，个人不得据为己有或者出租、出让、转借。</w:t>
            </w: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地方志编纂过程中收集到的图片、实物、音像资料以及形成的志稿，指定专职人员集中统一管理、保存。</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2.移交责任：</w:t>
            </w:r>
            <w:r>
              <w:rPr>
                <w:rFonts w:hint="eastAsia" w:ascii="仿宋" w:hAnsi="仿宋" w:eastAsia="仿宋" w:cs="仿宋"/>
                <w:color w:val="000000"/>
                <w:kern w:val="0"/>
                <w:szCs w:val="21"/>
              </w:rPr>
              <w:t>移交县方志馆（室）或档案局保存、管理，个人不得据为已有或者出租、出让、转借。</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8"/>
                <w:rFonts w:hint="default" w:ascii="仿宋" w:hAnsi="仿宋" w:eastAsia="仿宋" w:cs="仿宋"/>
                <w:sz w:val="21"/>
                <w:szCs w:val="21"/>
              </w:rPr>
              <w:t xml:space="preserve">《地方志工作条例》（2006年国务院令第467号）第十四条。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8</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00711217941000008000440823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地方志资料报送</w:t>
            </w:r>
          </w:p>
        </w:tc>
        <w:tc>
          <w:tcPr>
            <w:tcW w:w="5953"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Style w:val="10"/>
                <w:rFonts w:hint="default" w:ascii="仿宋" w:hAnsi="仿宋" w:eastAsia="仿宋" w:cs="仿宋"/>
                <w:sz w:val="21"/>
                <w:szCs w:val="21"/>
              </w:rPr>
              <w:t xml:space="preserve">第七条 </w:t>
            </w:r>
            <w:r>
              <w:rPr>
                <w:rFonts w:hint="eastAsia" w:ascii="仿宋" w:hAnsi="仿宋" w:eastAsia="仿宋" w:cs="仿宋"/>
                <w:b/>
                <w:color w:val="000000"/>
                <w:kern w:val="0"/>
                <w:szCs w:val="21"/>
              </w:rPr>
              <w:t>县级以上人民政府地方志工作机构</w:t>
            </w:r>
            <w:r>
              <w:rPr>
                <w:rStyle w:val="10"/>
                <w:rFonts w:hint="default" w:ascii="仿宋" w:hAnsi="仿宋" w:eastAsia="仿宋" w:cs="仿宋"/>
                <w:sz w:val="21"/>
                <w:szCs w:val="21"/>
              </w:rPr>
              <w:t>应当制定本行政区域地方志资料年报制度。各有关单位应当按照地方志资料年报制度报送地方志资料。</w:t>
            </w:r>
          </w:p>
        </w:tc>
        <w:tc>
          <w:tcPr>
            <w:tcW w:w="2410" w:type="dxa"/>
            <w:vAlign w:val="center"/>
          </w:tcPr>
          <w:p>
            <w:pPr>
              <w:widowControl/>
              <w:spacing w:line="260" w:lineRule="exact"/>
              <w:jc w:val="left"/>
              <w:textAlignment w:val="center"/>
              <w:rPr>
                <w:rFonts w:ascii="仿宋" w:hAnsi="仿宋" w:eastAsia="仿宋" w:cs="仿宋"/>
                <w:color w:val="000000"/>
                <w:kern w:val="0"/>
                <w:szCs w:val="21"/>
              </w:rPr>
            </w:pPr>
            <w:r>
              <w:rPr>
                <w:rFonts w:hint="eastAsia" w:ascii="仿宋" w:hAnsi="仿宋" w:eastAsia="仿宋" w:cs="仿宋"/>
                <w:b/>
                <w:color w:val="000000"/>
                <w:kern w:val="0"/>
                <w:szCs w:val="21"/>
              </w:rPr>
              <w:t>1.受理前责任：</w:t>
            </w:r>
            <w:r>
              <w:rPr>
                <w:rFonts w:hint="eastAsia" w:ascii="仿宋" w:hAnsi="仿宋" w:eastAsia="仿宋" w:cs="仿宋"/>
                <w:color w:val="000000"/>
                <w:kern w:val="0"/>
                <w:szCs w:val="21"/>
              </w:rPr>
              <w:t>按照规定制定并公布全县地方志资料年报制度，明确报送程序、时限，做好宣传指导和咨询服务。</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2.受理责任</w:t>
            </w:r>
            <w:r>
              <w:rPr>
                <w:rFonts w:hint="eastAsia" w:ascii="仿宋" w:hAnsi="仿宋" w:eastAsia="仿宋" w:cs="仿宋"/>
                <w:color w:val="000000"/>
                <w:kern w:val="0"/>
                <w:szCs w:val="21"/>
              </w:rPr>
              <w:t>：按照地方志资料年报制度，对报送的地方志资料进行审核、登记，并出具受理相关证明。</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10"/>
                <w:rFonts w:hint="default" w:ascii="仿宋" w:hAnsi="仿宋" w:eastAsia="仿宋" w:cs="仿宋"/>
                <w:sz w:val="21"/>
                <w:szCs w:val="21"/>
              </w:rPr>
              <w:t>《广东省地方志工作规定》（2007年粤府令第120号）第七条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9</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00711217941000009000440823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提请出版行政部门依法查处</w:t>
            </w:r>
          </w:p>
        </w:tc>
        <w:tc>
          <w:tcPr>
            <w:tcW w:w="5953"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【行政法规】</w:t>
            </w:r>
            <w:r>
              <w:rPr>
                <w:rFonts w:hint="eastAsia" w:ascii="仿宋" w:hAnsi="仿宋" w:eastAsia="仿宋" w:cs="仿宋"/>
                <w:color w:val="000000"/>
                <w:kern w:val="0"/>
                <w:szCs w:val="21"/>
              </w:rPr>
              <w:t>《地方志工作条例》（2006年国务院令第467号）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第十八条 违反本条例规定，擅自编纂出版以县级以上行政区域名称冠名的地方志书、地方综合年鉴的，由</w:t>
            </w:r>
            <w:r>
              <w:rPr>
                <w:rStyle w:val="11"/>
                <w:rFonts w:hint="default" w:ascii="仿宋" w:hAnsi="仿宋" w:eastAsia="仿宋" w:cs="仿宋"/>
                <w:sz w:val="21"/>
                <w:szCs w:val="21"/>
              </w:rPr>
              <w:t>县级以上地方人民政府负责地方志工作的机构</w:t>
            </w:r>
            <w:r>
              <w:rPr>
                <w:rFonts w:hint="eastAsia" w:ascii="仿宋" w:hAnsi="仿宋" w:eastAsia="仿宋" w:cs="仿宋"/>
                <w:color w:val="000000"/>
                <w:kern w:val="0"/>
                <w:szCs w:val="21"/>
              </w:rPr>
              <w:t>提请本级人民政府出版行政部门依法查处。</w:t>
            </w: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1.审查前责任：</w:t>
            </w:r>
            <w:r>
              <w:rPr>
                <w:rFonts w:hint="eastAsia" w:ascii="仿宋" w:hAnsi="仿宋" w:eastAsia="仿宋" w:cs="仿宋"/>
                <w:color w:val="000000"/>
                <w:kern w:val="0"/>
                <w:szCs w:val="21"/>
              </w:rPr>
              <w:t xml:space="preserve">对违规案例进行调查取证，并采取相应措施予以纠正，提出处理意见。               </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2.提请责任：</w:t>
            </w:r>
            <w:r>
              <w:rPr>
                <w:rFonts w:hint="eastAsia" w:ascii="仿宋" w:hAnsi="仿宋" w:eastAsia="仿宋" w:cs="仿宋"/>
                <w:color w:val="000000"/>
                <w:kern w:val="0"/>
                <w:szCs w:val="21"/>
              </w:rPr>
              <w:t>视情节追究有关单位和个人的责任，构成犯罪的，提请本级人民政府出版行政部门依法查处。</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8"/>
                <w:rFonts w:hint="default" w:ascii="仿宋" w:hAnsi="仿宋" w:eastAsia="仿宋" w:cs="仿宋"/>
                <w:sz w:val="21"/>
                <w:szCs w:val="21"/>
              </w:rPr>
              <w:t xml:space="preserve">《地方志工作条例》（2006年国务院令第467号）第十八条。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8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99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595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241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559"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9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意见</w:t>
            </w:r>
          </w:p>
        </w:tc>
        <w:tc>
          <w:tcPr>
            <w:tcW w:w="565"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10</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00711217941000010000440823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地方志资料、编纂报酬支付工作经费发放</w:t>
            </w:r>
          </w:p>
        </w:tc>
        <w:tc>
          <w:tcPr>
            <w:tcW w:w="5953" w:type="dxa"/>
          </w:tcPr>
          <w:p>
            <w:pPr>
              <w:widowControl/>
              <w:spacing w:line="260" w:lineRule="exact"/>
              <w:jc w:val="left"/>
              <w:textAlignment w:val="top"/>
              <w:rPr>
                <w:rFonts w:ascii="仿宋" w:hAnsi="仿宋" w:eastAsia="仿宋" w:cs="仿宋"/>
                <w:b/>
                <w:color w:val="000000"/>
                <w:kern w:val="0"/>
                <w:szCs w:val="21"/>
              </w:rPr>
            </w:pPr>
          </w:p>
          <w:p>
            <w:pPr>
              <w:widowControl/>
              <w:spacing w:line="260" w:lineRule="exact"/>
              <w:jc w:val="left"/>
              <w:textAlignment w:val="top"/>
              <w:rPr>
                <w:rFonts w:ascii="仿宋" w:hAnsi="仿宋" w:eastAsia="仿宋" w:cs="仿宋"/>
                <w:color w:val="000000"/>
                <w:kern w:val="0"/>
                <w:szCs w:val="21"/>
              </w:rPr>
            </w:pPr>
            <w:r>
              <w:rPr>
                <w:rFonts w:hint="eastAsia" w:ascii="仿宋" w:hAnsi="仿宋" w:eastAsia="仿宋" w:cs="仿宋"/>
                <w:b/>
                <w:color w:val="000000"/>
                <w:kern w:val="0"/>
                <w:szCs w:val="21"/>
              </w:rPr>
              <w:t>【行政法规】</w:t>
            </w:r>
            <w:r>
              <w:rPr>
                <w:rFonts w:hint="eastAsia" w:ascii="仿宋" w:hAnsi="仿宋" w:eastAsia="仿宋" w:cs="仿宋"/>
                <w:color w:val="000000"/>
                <w:kern w:val="0"/>
                <w:szCs w:val="21"/>
              </w:rPr>
              <w:t>《地方志工作条例》（2006年国务院令第467号）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第九条 编纂地方志应当吸收有关方面的专家、学者参加。地方志编纂人员实行专兼职相结合，专职编纂人员应当具备相应的专业知识。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第十一条 </w:t>
            </w:r>
            <w:r>
              <w:rPr>
                <w:rStyle w:val="11"/>
                <w:rFonts w:hint="default" w:ascii="仿宋" w:hAnsi="仿宋" w:eastAsia="仿宋" w:cs="仿宋"/>
                <w:sz w:val="21"/>
                <w:szCs w:val="21"/>
              </w:rPr>
              <w:t>县级以上地方人民政府负责地方志工作的机构</w:t>
            </w:r>
            <w:r>
              <w:rPr>
                <w:rFonts w:hint="eastAsia" w:ascii="仿宋" w:hAnsi="仿宋" w:eastAsia="仿宋" w:cs="仿宋"/>
                <w:color w:val="000000"/>
                <w:kern w:val="0"/>
                <w:szCs w:val="21"/>
              </w:rPr>
              <w:t>可以向机关、社会团体、企业事业单位、其他组织以及个人征集有关地方志资料，有关单位和个人应当提供支持。负责地方志工作的机构可以对有关资料进行查阅摘抄、复制，但涉及国家秘密、商业秘密和个人隐私以及不符合档案开放条件的除外。</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地方志资料所有人或者持有人提供有关资料，可以获得适当报酬。地方志资料所有人或者持有人不得故意提供虚假资料。</w:t>
            </w:r>
            <w:r>
              <w:rPr>
                <w:rFonts w:hint="eastAsia" w:ascii="仿宋" w:hAnsi="仿宋" w:eastAsia="仿宋" w:cs="仿宋"/>
                <w:color w:val="000000"/>
                <w:kern w:val="0"/>
                <w:szCs w:val="21"/>
              </w:rPr>
              <w:br w:type="textWrapping"/>
            </w:r>
            <w:r>
              <w:rPr>
                <w:rStyle w:val="11"/>
                <w:rFonts w:hint="default" w:ascii="仿宋" w:hAnsi="仿宋" w:eastAsia="仿宋" w:cs="仿宋"/>
                <w:sz w:val="21"/>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第六条　本省各级机关、社会团体、企事业单位和其他组织，以及中直驻粤、省驻各地单位，应当按照所在地人民政府的地方志工作规划，确定机构和人员，参与地方志编纂，并接受</w:t>
            </w:r>
            <w:r>
              <w:rPr>
                <w:rStyle w:val="11"/>
                <w:rFonts w:hint="default" w:ascii="仿宋" w:hAnsi="仿宋" w:eastAsia="仿宋" w:cs="仿宋"/>
                <w:sz w:val="21"/>
                <w:szCs w:val="21"/>
              </w:rPr>
              <w:t>所在地人民政府地方志工作机构</w:t>
            </w:r>
            <w:r>
              <w:rPr>
                <w:rFonts w:hint="eastAsia" w:ascii="仿宋" w:hAnsi="仿宋" w:eastAsia="仿宋" w:cs="仿宋"/>
                <w:color w:val="000000"/>
                <w:kern w:val="0"/>
                <w:szCs w:val="21"/>
              </w:rPr>
              <w:t>的业务指导和督促检查。按照地方志工作规划承担地方志书编纂任务的机关、社会团体、企事业单位和其他组织，编纂地方志书所需经费应当列入单位年度预算。属当地人民政府财政预算单位的，由人民政府财政部门征求</w:t>
            </w:r>
            <w:r>
              <w:rPr>
                <w:rStyle w:val="11"/>
                <w:rFonts w:hint="default" w:ascii="仿宋" w:hAnsi="仿宋" w:eastAsia="仿宋" w:cs="仿宋"/>
                <w:sz w:val="21"/>
                <w:szCs w:val="21"/>
              </w:rPr>
              <w:t>本级人民政府地方志工作机构</w:t>
            </w:r>
            <w:r>
              <w:rPr>
                <w:rFonts w:hint="eastAsia" w:ascii="仿宋" w:hAnsi="仿宋" w:eastAsia="仿宋" w:cs="仿宋"/>
                <w:color w:val="000000"/>
                <w:kern w:val="0"/>
                <w:szCs w:val="21"/>
              </w:rPr>
              <w:t>意见后核拨;不属当地人民政府财政预算单位的，由</w:t>
            </w:r>
            <w:r>
              <w:rPr>
                <w:rStyle w:val="11"/>
                <w:rFonts w:hint="default" w:ascii="仿宋" w:hAnsi="仿宋" w:eastAsia="仿宋" w:cs="仿宋"/>
                <w:sz w:val="21"/>
                <w:szCs w:val="21"/>
              </w:rPr>
              <w:t>人民政府地方志工作机构</w:t>
            </w:r>
            <w:r>
              <w:rPr>
                <w:rFonts w:hint="eastAsia" w:ascii="仿宋" w:hAnsi="仿宋" w:eastAsia="仿宋" w:cs="仿宋"/>
                <w:color w:val="000000"/>
                <w:kern w:val="0"/>
                <w:szCs w:val="21"/>
              </w:rPr>
              <w:t>统一编制预算，人民政府财政部门向</w:t>
            </w:r>
            <w:r>
              <w:rPr>
                <w:rStyle w:val="11"/>
                <w:rFonts w:hint="default" w:ascii="仿宋" w:hAnsi="仿宋" w:eastAsia="仿宋" w:cs="仿宋"/>
                <w:sz w:val="21"/>
                <w:szCs w:val="21"/>
              </w:rPr>
              <w:t>人民政府地方志工作机构</w:t>
            </w:r>
            <w:r>
              <w:rPr>
                <w:rFonts w:hint="eastAsia" w:ascii="仿宋" w:hAnsi="仿宋" w:eastAsia="仿宋" w:cs="仿宋"/>
                <w:color w:val="000000"/>
                <w:kern w:val="0"/>
                <w:szCs w:val="21"/>
              </w:rPr>
              <w:t>核拨，再由</w:t>
            </w:r>
            <w:r>
              <w:rPr>
                <w:rStyle w:val="11"/>
                <w:rFonts w:hint="default" w:ascii="仿宋" w:hAnsi="仿宋" w:eastAsia="仿宋" w:cs="仿宋"/>
                <w:sz w:val="21"/>
                <w:szCs w:val="21"/>
              </w:rPr>
              <w:t>人民政府地方志工作机构</w:t>
            </w:r>
            <w:r>
              <w:rPr>
                <w:rFonts w:hint="eastAsia" w:ascii="仿宋" w:hAnsi="仿宋" w:eastAsia="仿宋" w:cs="仿宋"/>
                <w:color w:val="000000"/>
                <w:kern w:val="0"/>
                <w:szCs w:val="21"/>
              </w:rPr>
              <w:t>向有关单位发放。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第九条 地方志编纂人员应当具备相应的专业知识，参加地方志编纂业务培训。科研院所、高等学校和其他组织应当支持科研人员、专家学者参与地方志工作。</w:t>
            </w:r>
          </w:p>
          <w:p>
            <w:pPr>
              <w:widowControl/>
              <w:spacing w:line="260" w:lineRule="exact"/>
              <w:jc w:val="left"/>
              <w:textAlignment w:val="top"/>
              <w:rPr>
                <w:rFonts w:ascii="仿宋" w:hAnsi="仿宋" w:eastAsia="仿宋" w:cs="仿宋"/>
                <w:color w:val="000000"/>
                <w:kern w:val="0"/>
                <w:szCs w:val="21"/>
              </w:rPr>
            </w:pP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1.受理前责任：</w:t>
            </w:r>
            <w:r>
              <w:rPr>
                <w:rFonts w:hint="eastAsia" w:ascii="仿宋" w:hAnsi="仿宋" w:eastAsia="仿宋" w:cs="仿宋"/>
                <w:color w:val="000000"/>
                <w:kern w:val="0"/>
                <w:szCs w:val="21"/>
              </w:rPr>
              <w:t xml:space="preserve">地方志资料所有人或者持有人提供资料，经审查验收后，可以获得适当报酬，但不得故意提供虚假资料。                  </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2.受理责任：</w:t>
            </w:r>
            <w:r>
              <w:rPr>
                <w:rFonts w:hint="eastAsia" w:ascii="仿宋" w:hAnsi="仿宋" w:eastAsia="仿宋" w:cs="仿宋"/>
                <w:color w:val="000000"/>
                <w:kern w:val="0"/>
                <w:szCs w:val="21"/>
              </w:rPr>
              <w:t>依照相关规定，支付工作经费或稿酬。</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8"/>
                <w:rFonts w:hint="default" w:ascii="仿宋" w:hAnsi="仿宋" w:eastAsia="仿宋" w:cs="仿宋"/>
                <w:sz w:val="21"/>
                <w:szCs w:val="21"/>
              </w:rPr>
              <w:t>《地方志工作条例》（2006年国务院令第467号）第十一条，</w:t>
            </w:r>
            <w:r>
              <w:rPr>
                <w:rStyle w:val="10"/>
                <w:rFonts w:hint="default" w:ascii="仿宋" w:hAnsi="仿宋" w:eastAsia="仿宋" w:cs="仿宋"/>
                <w:sz w:val="21"/>
                <w:szCs w:val="21"/>
              </w:rPr>
              <w:t>《广东省地方志工作规定》（2007年粤府令第120号）第六条、第九条。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85"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编码</w:t>
            </w:r>
          </w:p>
        </w:tc>
        <w:tc>
          <w:tcPr>
            <w:tcW w:w="99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职权名称</w:t>
            </w:r>
          </w:p>
        </w:tc>
        <w:tc>
          <w:tcPr>
            <w:tcW w:w="5953"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依据</w:t>
            </w:r>
          </w:p>
        </w:tc>
        <w:tc>
          <w:tcPr>
            <w:tcW w:w="2410"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责任事项</w:t>
            </w:r>
          </w:p>
        </w:tc>
        <w:tc>
          <w:tcPr>
            <w:tcW w:w="1559" w:type="dxa"/>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问责依据及监督方式</w:t>
            </w:r>
          </w:p>
        </w:tc>
        <w:tc>
          <w:tcPr>
            <w:tcW w:w="993"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565"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11</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00711217941000011000440823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地方志资源利用</w:t>
            </w:r>
          </w:p>
        </w:tc>
        <w:tc>
          <w:tcPr>
            <w:tcW w:w="5953" w:type="dxa"/>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b/>
                <w:color w:val="000000"/>
                <w:kern w:val="0"/>
                <w:szCs w:val="21"/>
              </w:rPr>
              <w:t>【行政法规】</w:t>
            </w:r>
            <w:r>
              <w:rPr>
                <w:rFonts w:hint="eastAsia" w:ascii="仿宋" w:hAnsi="仿宋" w:eastAsia="仿宋" w:cs="仿宋"/>
                <w:color w:val="000000"/>
                <w:kern w:val="0"/>
                <w:szCs w:val="21"/>
              </w:rPr>
              <w:t>《地方志工作条例》（2006年国务院令第467号）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第五条  国家地方志工作指导机构统筹规划、组织协调、督促指导全国地方志工作。</w:t>
            </w:r>
            <w:r>
              <w:rPr>
                <w:rFonts w:hint="eastAsia" w:ascii="仿宋" w:hAnsi="仿宋" w:eastAsia="仿宋" w:cs="仿宋"/>
                <w:color w:val="000000"/>
                <w:kern w:val="0"/>
                <w:szCs w:val="21"/>
              </w:rPr>
              <w:br w:type="textWrapping"/>
            </w:r>
            <w:r>
              <w:rPr>
                <w:rStyle w:val="11"/>
                <w:rFonts w:hint="default" w:ascii="仿宋" w:hAnsi="仿宋" w:eastAsia="仿宋" w:cs="仿宋"/>
                <w:sz w:val="21"/>
                <w:szCs w:val="21"/>
              </w:rPr>
              <w:t xml:space="preserve">  县级以上地方人民政府负责地方志工作的机构</w:t>
            </w:r>
            <w:r>
              <w:rPr>
                <w:rFonts w:hint="eastAsia" w:ascii="仿宋" w:hAnsi="仿宋" w:eastAsia="仿宋" w:cs="仿宋"/>
                <w:color w:val="000000"/>
                <w:kern w:val="0"/>
                <w:szCs w:val="21"/>
              </w:rPr>
              <w:t>主管本行政区域的地方志工作，履行下列职责：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（一）组织、指导、督促和检查地方志工作；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（二）拟定地方志工作规划和编纂方案；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（三）组织编纂地方志书、地方综合年鉴;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（四）搜集、保存地方志文献和资料，组织整理旧志，推动方志理论研究；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(五）组织开发利用地方志资源。</w:t>
            </w:r>
            <w:r>
              <w:rPr>
                <w:rFonts w:hint="eastAsia" w:ascii="仿宋" w:hAnsi="仿宋" w:eastAsia="仿宋" w:cs="仿宋"/>
                <w:color w:val="000000"/>
                <w:kern w:val="0"/>
                <w:szCs w:val="21"/>
              </w:rPr>
              <w:br w:type="textWrapping"/>
            </w:r>
            <w:r>
              <w:rPr>
                <w:rStyle w:val="11"/>
                <w:rFonts w:hint="default" w:ascii="仿宋" w:hAnsi="仿宋" w:eastAsia="仿宋" w:cs="仿宋"/>
                <w:sz w:val="21"/>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第五条 </w:t>
            </w:r>
            <w:r>
              <w:rPr>
                <w:rStyle w:val="11"/>
                <w:rFonts w:hint="default" w:ascii="仿宋" w:hAnsi="仿宋" w:eastAsia="仿宋" w:cs="仿宋"/>
                <w:sz w:val="21"/>
                <w:szCs w:val="21"/>
              </w:rPr>
              <w:t xml:space="preserve"> 县级以上地方人民政府地方志工作机构</w:t>
            </w:r>
            <w:r>
              <w:rPr>
                <w:rFonts w:hint="eastAsia" w:ascii="仿宋" w:hAnsi="仿宋" w:eastAsia="仿宋" w:cs="仿宋"/>
                <w:color w:val="000000"/>
                <w:kern w:val="0"/>
                <w:szCs w:val="21"/>
              </w:rPr>
              <w:t>主管本行政区域的地方志工作，履行下列职责：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（一）拟订地方志工作规划和编纂方案，制定地方志工作制度；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（二）组织、指导、督促和检查地方志工作；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（三）组织编纂地方志书、地方综合年鉴和地方志文献;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（四）组织地方志书的审查验收；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(五）组织培训地方志编纂人员；</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（六）搜集、整理、保存地方志文献和资料；</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（七）组织整理旧志，推动地方志理论研究；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（八）组织地情调查研究和开发利用地方志资源。</w:t>
            </w: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搜集、保存地方志文献和资料，组织整理旧志，推动方志理论研究；形成地方志资源开发方案。</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2.实施责任</w:t>
            </w:r>
            <w:r>
              <w:rPr>
                <w:rFonts w:hint="eastAsia" w:ascii="仿宋" w:hAnsi="仿宋" w:eastAsia="仿宋" w:cs="仿宋"/>
                <w:color w:val="000000"/>
                <w:kern w:val="0"/>
                <w:szCs w:val="21"/>
              </w:rPr>
              <w:t>：依法对地方志资源开发利用。　　　</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8"/>
                <w:rFonts w:hint="default" w:ascii="仿宋" w:hAnsi="仿宋" w:eastAsia="仿宋" w:cs="仿宋"/>
                <w:sz w:val="21"/>
                <w:szCs w:val="21"/>
              </w:rPr>
              <w:t>《地方志工作条例》（2006年国务院令第467号）第五条，</w:t>
            </w:r>
            <w:r>
              <w:rPr>
                <w:rStyle w:val="10"/>
                <w:rFonts w:hint="default" w:ascii="仿宋" w:hAnsi="仿宋" w:eastAsia="仿宋" w:cs="仿宋"/>
                <w:sz w:val="21"/>
                <w:szCs w:val="21"/>
              </w:rPr>
              <w:t>《广东省地方志工作规定》（2007年粤府令第120号）第五条。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683"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12</w:t>
            </w:r>
          </w:p>
        </w:tc>
        <w:tc>
          <w:tcPr>
            <w:tcW w:w="985"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00711217941000012000440823</w:t>
            </w:r>
          </w:p>
        </w:tc>
        <w:tc>
          <w:tcPr>
            <w:tcW w:w="992"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color w:val="000000"/>
                <w:kern w:val="0"/>
                <w:szCs w:val="21"/>
              </w:rPr>
              <w:t>地方志书审核</w:t>
            </w:r>
          </w:p>
        </w:tc>
        <w:tc>
          <w:tcPr>
            <w:tcW w:w="5953" w:type="dxa"/>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b/>
                <w:color w:val="000000"/>
                <w:kern w:val="0"/>
                <w:szCs w:val="21"/>
              </w:rPr>
              <w:t>【地方政府规章】</w:t>
            </w:r>
            <w:r>
              <w:rPr>
                <w:rFonts w:hint="eastAsia" w:ascii="仿宋" w:hAnsi="仿宋" w:eastAsia="仿宋" w:cs="仿宋"/>
                <w:color w:val="000000"/>
                <w:kern w:val="0"/>
                <w:szCs w:val="21"/>
              </w:rPr>
              <w:t>《广东省地方志工作规定》（2007年粤府令第120号）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第十条 以县级以上行政区域名称冠名、列入规划的地方志书经审查验收，方可以公开出版。地方志书的审查验收分初审、复审和终审。</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   以县（县级市、区）和地级以上市行政区域名称冠名的地方志书由</w:t>
            </w:r>
            <w:r>
              <w:rPr>
                <w:rStyle w:val="11"/>
                <w:rFonts w:hint="default" w:ascii="仿宋" w:hAnsi="仿宋" w:eastAsia="仿宋" w:cs="仿宋"/>
                <w:sz w:val="21"/>
                <w:szCs w:val="21"/>
              </w:rPr>
              <w:t>本级人民政府地方志工作机构</w:t>
            </w:r>
            <w:r>
              <w:rPr>
                <w:rFonts w:hint="eastAsia" w:ascii="仿宋" w:hAnsi="仿宋" w:eastAsia="仿宋" w:cs="仿宋"/>
                <w:color w:val="000000"/>
                <w:kern w:val="0"/>
                <w:szCs w:val="21"/>
              </w:rPr>
              <w:t>组织初审、上一级人民政府地方志工作机构组织复审、上一级人民政府组织的地方志书审查验收机构终审。</w:t>
            </w:r>
          </w:p>
        </w:tc>
        <w:tc>
          <w:tcPr>
            <w:tcW w:w="2410" w:type="dxa"/>
            <w:vAlign w:val="center"/>
          </w:tcPr>
          <w:p>
            <w:pPr>
              <w:widowControl/>
              <w:spacing w:line="260" w:lineRule="exact"/>
              <w:jc w:val="left"/>
              <w:textAlignment w:val="center"/>
              <w:rPr>
                <w:rFonts w:ascii="仿宋" w:hAnsi="仿宋" w:eastAsia="仿宋" w:cs="仿宋"/>
                <w:szCs w:val="21"/>
              </w:rPr>
            </w:pPr>
            <w:r>
              <w:rPr>
                <w:rFonts w:hint="eastAsia" w:ascii="仿宋" w:hAnsi="仿宋" w:eastAsia="仿宋" w:cs="仿宋"/>
                <w:b/>
                <w:color w:val="000000"/>
                <w:kern w:val="0"/>
                <w:szCs w:val="21"/>
              </w:rPr>
              <w:t>1.事前责任</w:t>
            </w:r>
            <w:r>
              <w:rPr>
                <w:rFonts w:hint="eastAsia" w:ascii="仿宋" w:hAnsi="仿宋" w:eastAsia="仿宋" w:cs="仿宋"/>
                <w:color w:val="000000"/>
                <w:kern w:val="0"/>
                <w:szCs w:val="21"/>
              </w:rPr>
              <w:t>：对县级以上行政区域名称冠名、列入规划的地方志书经审查验收。　</w:t>
            </w:r>
            <w:r>
              <w:rPr>
                <w:rFonts w:hint="eastAsia" w:ascii="仿宋" w:hAnsi="仿宋" w:eastAsia="仿宋" w:cs="仿宋"/>
                <w:color w:val="000000"/>
                <w:kern w:val="0"/>
                <w:szCs w:val="21"/>
              </w:rPr>
              <w:br w:type="textWrapping"/>
            </w:r>
            <w:r>
              <w:rPr>
                <w:rFonts w:hint="eastAsia" w:ascii="仿宋" w:hAnsi="仿宋" w:eastAsia="仿宋" w:cs="仿宋"/>
                <w:b/>
                <w:color w:val="000000"/>
                <w:kern w:val="0"/>
                <w:szCs w:val="21"/>
              </w:rPr>
              <w:t>2.受理责任：</w:t>
            </w:r>
            <w:r>
              <w:rPr>
                <w:rFonts w:hint="eastAsia" w:ascii="仿宋" w:hAnsi="仿宋" w:eastAsia="仿宋" w:cs="仿宋"/>
                <w:color w:val="000000"/>
                <w:kern w:val="0"/>
                <w:szCs w:val="21"/>
              </w:rPr>
              <w:t>依法对以本级行政区域名称冠名的地方志书组织初审。</w:t>
            </w:r>
          </w:p>
        </w:tc>
        <w:tc>
          <w:tcPr>
            <w:tcW w:w="1559" w:type="dxa"/>
            <w:vAlign w:val="center"/>
          </w:tcPr>
          <w:p>
            <w:pPr>
              <w:spacing w:line="260" w:lineRule="exact"/>
              <w:jc w:val="left"/>
              <w:rPr>
                <w:rFonts w:ascii="仿宋" w:hAnsi="仿宋" w:eastAsia="仿宋" w:cs="仿宋"/>
                <w:szCs w:val="21"/>
              </w:rPr>
            </w:pPr>
            <w:r>
              <w:rPr>
                <w:rFonts w:hint="eastAsia" w:ascii="仿宋" w:hAnsi="仿宋" w:eastAsia="仿宋" w:cs="仿宋"/>
                <w:b/>
                <w:bCs/>
                <w:color w:val="000000"/>
                <w:kern w:val="0"/>
                <w:szCs w:val="21"/>
              </w:rPr>
              <w:t>问责依据：</w:t>
            </w:r>
            <w:r>
              <w:rPr>
                <w:rStyle w:val="10"/>
                <w:rFonts w:hint="default" w:ascii="仿宋" w:hAnsi="仿宋" w:eastAsia="仿宋" w:cs="仿宋"/>
                <w:sz w:val="21"/>
                <w:szCs w:val="21"/>
              </w:rPr>
              <w:t>《广东省地方志工作规定》（2007年粤府令第120号）第五条</w:t>
            </w:r>
            <w:r>
              <w:rPr>
                <w:rStyle w:val="8"/>
                <w:rFonts w:hint="default" w:ascii="仿宋" w:hAnsi="仿宋" w:eastAsia="仿宋" w:cs="仿宋"/>
                <w:sz w:val="21"/>
                <w:szCs w:val="21"/>
              </w:rPr>
              <w:t xml:space="preserve">。      </w:t>
            </w:r>
            <w:r>
              <w:rPr>
                <w:rFonts w:hint="eastAsia" w:ascii="仿宋" w:hAnsi="仿宋" w:eastAsia="仿宋" w:cs="仿宋"/>
                <w:color w:val="000000"/>
                <w:kern w:val="0"/>
                <w:szCs w:val="21"/>
              </w:rPr>
              <w:br w:type="textWrapping"/>
            </w:r>
            <w:r>
              <w:rPr>
                <w:rFonts w:hint="eastAsia" w:ascii="仿宋" w:hAnsi="仿宋" w:eastAsia="仿宋" w:cs="仿宋"/>
                <w:b/>
                <w:bCs/>
                <w:color w:val="000000"/>
                <w:kern w:val="0"/>
                <w:szCs w:val="21"/>
              </w:rPr>
              <w:t>监督方式：</w:t>
            </w:r>
            <w:r>
              <w:rPr>
                <w:rFonts w:hint="eastAsia" w:ascii="仿宋" w:hAnsi="仿宋" w:eastAsia="仿宋" w:cs="仿宋"/>
                <w:bCs/>
                <w:color w:val="000000"/>
                <w:kern w:val="0"/>
                <w:szCs w:val="21"/>
              </w:rPr>
              <w:t>0759-7780598</w:t>
            </w:r>
          </w:p>
        </w:tc>
        <w:tc>
          <w:tcPr>
            <w:tcW w:w="993" w:type="dxa"/>
            <w:vAlign w:val="center"/>
          </w:tcPr>
          <w:p>
            <w:pPr>
              <w:widowControl/>
              <w:spacing w:line="260" w:lineRule="exact"/>
              <w:jc w:val="left"/>
              <w:textAlignment w:val="center"/>
              <w:rPr>
                <w:rFonts w:ascii="仿宋" w:hAnsi="仿宋" w:eastAsia="仿宋" w:cs="仿宋"/>
                <w:szCs w:val="21"/>
              </w:rPr>
            </w:pPr>
          </w:p>
        </w:tc>
        <w:tc>
          <w:tcPr>
            <w:tcW w:w="565" w:type="dxa"/>
            <w:vAlign w:val="center"/>
          </w:tcPr>
          <w:p>
            <w:pPr>
              <w:spacing w:line="260" w:lineRule="exact"/>
              <w:jc w:val="center"/>
              <w:rPr>
                <w:rFonts w:ascii="仿宋" w:hAnsi="仿宋" w:eastAsia="仿宋" w:cs="仿宋"/>
                <w:szCs w:val="21"/>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 曹锡洪            复核人：黄 珍                  联系电话：0759-7780598</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遂溪县行政职权调整目录表</w:t>
      </w:r>
    </w:p>
    <w:p>
      <w:pPr>
        <w:spacing w:line="540" w:lineRule="exact"/>
        <w:rPr>
          <w:rFonts w:ascii="仿宋_GB2312" w:hAnsi="仿宋_GB2312" w:eastAsia="仿宋_GB2312" w:cs="仿宋_GB2312"/>
          <w:sz w:val="32"/>
          <w:szCs w:val="32"/>
        </w:rPr>
      </w:pPr>
    </w:p>
    <w:tbl>
      <w:tblPr>
        <w:tblStyle w:val="5"/>
        <w:tblW w:w="14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
        <w:gridCol w:w="986"/>
        <w:gridCol w:w="1044"/>
        <w:gridCol w:w="899"/>
        <w:gridCol w:w="1030"/>
        <w:gridCol w:w="1500"/>
        <w:gridCol w:w="920"/>
        <w:gridCol w:w="934"/>
        <w:gridCol w:w="932"/>
        <w:gridCol w:w="964"/>
        <w:gridCol w:w="1191"/>
        <w:gridCol w:w="907"/>
        <w:gridCol w:w="863"/>
        <w:gridCol w:w="639"/>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0" w:hRule="atLeast"/>
        </w:trPr>
        <w:tc>
          <w:tcPr>
            <w:tcW w:w="464"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8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1044"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职权名称</w:t>
            </w:r>
          </w:p>
        </w:tc>
        <w:tc>
          <w:tcPr>
            <w:tcW w:w="89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103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子项名称</w:t>
            </w:r>
          </w:p>
        </w:tc>
        <w:tc>
          <w:tcPr>
            <w:tcW w:w="150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920"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审批</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对象</w:t>
            </w:r>
          </w:p>
        </w:tc>
        <w:tc>
          <w:tcPr>
            <w:tcW w:w="934"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其他共同审批部门</w:t>
            </w:r>
          </w:p>
        </w:tc>
        <w:tc>
          <w:tcPr>
            <w:tcW w:w="932"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涉及层级</w:t>
            </w:r>
          </w:p>
        </w:tc>
        <w:tc>
          <w:tcPr>
            <w:tcW w:w="964"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1191" w:type="dxa"/>
            <w:vAlign w:val="center"/>
          </w:tcPr>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问责依据及监督方式</w:t>
            </w:r>
          </w:p>
        </w:tc>
        <w:tc>
          <w:tcPr>
            <w:tcW w:w="907"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处理意见</w:t>
            </w:r>
          </w:p>
        </w:tc>
        <w:tc>
          <w:tcPr>
            <w:tcW w:w="863"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调整理由</w:t>
            </w:r>
          </w:p>
        </w:tc>
        <w:tc>
          <w:tcPr>
            <w:tcW w:w="639"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56"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0" w:hRule="atLeast"/>
        </w:trPr>
        <w:tc>
          <w:tcPr>
            <w:tcW w:w="464"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86" w:type="dxa"/>
            <w:vAlign w:val="center"/>
          </w:tcPr>
          <w:p>
            <w:pPr>
              <w:spacing w:line="540" w:lineRule="exact"/>
              <w:jc w:val="center"/>
              <w:rPr>
                <w:rFonts w:ascii="仿宋_GB2312" w:hAnsi="仿宋_GB2312" w:eastAsia="仿宋_GB2312" w:cs="仿宋_GB2312"/>
                <w:sz w:val="32"/>
                <w:szCs w:val="32"/>
              </w:rPr>
            </w:pPr>
          </w:p>
        </w:tc>
        <w:tc>
          <w:tcPr>
            <w:tcW w:w="1044"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99" w:type="dxa"/>
            <w:vAlign w:val="center"/>
          </w:tcPr>
          <w:p>
            <w:pPr>
              <w:spacing w:line="540" w:lineRule="exact"/>
              <w:jc w:val="center"/>
              <w:rPr>
                <w:rFonts w:ascii="仿宋_GB2312" w:hAnsi="仿宋_GB2312" w:eastAsia="仿宋_GB2312" w:cs="仿宋_GB2312"/>
                <w:sz w:val="32"/>
                <w:szCs w:val="32"/>
              </w:rPr>
            </w:pPr>
          </w:p>
        </w:tc>
        <w:tc>
          <w:tcPr>
            <w:tcW w:w="1030" w:type="dxa"/>
            <w:vAlign w:val="center"/>
          </w:tcPr>
          <w:p>
            <w:pPr>
              <w:spacing w:line="540" w:lineRule="exact"/>
              <w:jc w:val="center"/>
              <w:rPr>
                <w:rFonts w:ascii="仿宋_GB2312" w:hAnsi="仿宋_GB2312" w:eastAsia="仿宋_GB2312" w:cs="仿宋_GB2312"/>
                <w:sz w:val="32"/>
                <w:szCs w:val="32"/>
              </w:rPr>
            </w:pPr>
          </w:p>
        </w:tc>
        <w:tc>
          <w:tcPr>
            <w:tcW w:w="1500" w:type="dxa"/>
            <w:vAlign w:val="center"/>
          </w:tcPr>
          <w:p>
            <w:pPr>
              <w:spacing w:line="540" w:lineRule="exact"/>
              <w:jc w:val="center"/>
              <w:rPr>
                <w:rFonts w:ascii="仿宋_GB2312" w:hAnsi="仿宋_GB2312" w:eastAsia="仿宋_GB2312" w:cs="仿宋_GB2312"/>
                <w:sz w:val="32"/>
                <w:szCs w:val="32"/>
              </w:rPr>
            </w:pPr>
          </w:p>
        </w:tc>
        <w:tc>
          <w:tcPr>
            <w:tcW w:w="920" w:type="dxa"/>
            <w:vAlign w:val="center"/>
          </w:tcPr>
          <w:p>
            <w:pPr>
              <w:spacing w:line="540" w:lineRule="exact"/>
              <w:jc w:val="center"/>
              <w:rPr>
                <w:rFonts w:ascii="仿宋_GB2312" w:hAnsi="仿宋_GB2312" w:eastAsia="仿宋_GB2312" w:cs="仿宋_GB2312"/>
                <w:sz w:val="32"/>
                <w:szCs w:val="32"/>
              </w:rPr>
            </w:pPr>
          </w:p>
        </w:tc>
        <w:tc>
          <w:tcPr>
            <w:tcW w:w="934" w:type="dxa"/>
            <w:vAlign w:val="center"/>
          </w:tcPr>
          <w:p>
            <w:pPr>
              <w:spacing w:line="540" w:lineRule="exact"/>
              <w:jc w:val="center"/>
              <w:rPr>
                <w:rFonts w:ascii="仿宋_GB2312" w:hAnsi="仿宋_GB2312" w:eastAsia="仿宋_GB2312" w:cs="仿宋_GB2312"/>
                <w:sz w:val="32"/>
                <w:szCs w:val="32"/>
              </w:rPr>
            </w:pPr>
          </w:p>
        </w:tc>
        <w:tc>
          <w:tcPr>
            <w:tcW w:w="932" w:type="dxa"/>
            <w:vAlign w:val="center"/>
          </w:tcPr>
          <w:p>
            <w:pPr>
              <w:spacing w:line="540" w:lineRule="exact"/>
              <w:jc w:val="center"/>
              <w:rPr>
                <w:rFonts w:ascii="仿宋_GB2312" w:hAnsi="仿宋_GB2312" w:eastAsia="仿宋_GB2312" w:cs="仿宋_GB2312"/>
                <w:sz w:val="32"/>
                <w:szCs w:val="32"/>
              </w:rPr>
            </w:pPr>
          </w:p>
        </w:tc>
        <w:tc>
          <w:tcPr>
            <w:tcW w:w="964" w:type="dxa"/>
            <w:vAlign w:val="center"/>
          </w:tcPr>
          <w:p>
            <w:pPr>
              <w:spacing w:line="540" w:lineRule="exact"/>
              <w:jc w:val="center"/>
              <w:rPr>
                <w:rFonts w:ascii="仿宋_GB2312" w:hAnsi="仿宋_GB2312" w:eastAsia="仿宋_GB2312" w:cs="仿宋_GB2312"/>
                <w:sz w:val="32"/>
                <w:szCs w:val="32"/>
              </w:rPr>
            </w:pPr>
          </w:p>
        </w:tc>
        <w:tc>
          <w:tcPr>
            <w:tcW w:w="1191" w:type="dxa"/>
            <w:vAlign w:val="center"/>
          </w:tcPr>
          <w:p>
            <w:pPr>
              <w:spacing w:line="540" w:lineRule="exact"/>
              <w:jc w:val="left"/>
              <w:rPr>
                <w:rFonts w:ascii="仿宋_GB2312" w:hAnsi="仿宋_GB2312" w:eastAsia="仿宋_GB2312" w:cs="仿宋_GB2312"/>
                <w:sz w:val="32"/>
                <w:szCs w:val="32"/>
              </w:rPr>
            </w:pPr>
          </w:p>
        </w:tc>
        <w:tc>
          <w:tcPr>
            <w:tcW w:w="907" w:type="dxa"/>
            <w:vAlign w:val="center"/>
          </w:tcPr>
          <w:p>
            <w:pPr>
              <w:spacing w:line="540" w:lineRule="exact"/>
              <w:jc w:val="center"/>
              <w:rPr>
                <w:rFonts w:ascii="仿宋_GB2312" w:hAnsi="仿宋_GB2312" w:eastAsia="仿宋_GB2312" w:cs="仿宋_GB2312"/>
                <w:sz w:val="32"/>
                <w:szCs w:val="32"/>
              </w:rPr>
            </w:pPr>
          </w:p>
        </w:tc>
        <w:tc>
          <w:tcPr>
            <w:tcW w:w="863" w:type="dxa"/>
            <w:vAlign w:val="center"/>
          </w:tcPr>
          <w:p>
            <w:pPr>
              <w:spacing w:line="540" w:lineRule="exact"/>
              <w:jc w:val="center"/>
              <w:rPr>
                <w:rFonts w:ascii="仿宋_GB2312" w:hAnsi="仿宋_GB2312" w:eastAsia="仿宋_GB2312" w:cs="仿宋_GB2312"/>
                <w:sz w:val="32"/>
                <w:szCs w:val="32"/>
              </w:rPr>
            </w:pPr>
          </w:p>
        </w:tc>
        <w:tc>
          <w:tcPr>
            <w:tcW w:w="639" w:type="dxa"/>
            <w:vAlign w:val="center"/>
          </w:tcPr>
          <w:p>
            <w:pPr>
              <w:spacing w:line="540" w:lineRule="exact"/>
              <w:jc w:val="center"/>
              <w:rPr>
                <w:rFonts w:ascii="仿宋_GB2312" w:hAnsi="仿宋_GB2312" w:eastAsia="仿宋_GB2312" w:cs="仿宋_GB2312"/>
                <w:sz w:val="32"/>
                <w:szCs w:val="32"/>
              </w:rPr>
            </w:pPr>
          </w:p>
        </w:tc>
        <w:tc>
          <w:tcPr>
            <w:tcW w:w="856"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5" w:hRule="atLeast"/>
        </w:trPr>
        <w:tc>
          <w:tcPr>
            <w:tcW w:w="464" w:type="dxa"/>
            <w:vMerge w:val="continue"/>
            <w:vAlign w:val="center"/>
          </w:tcPr>
          <w:p>
            <w:pPr>
              <w:spacing w:line="540" w:lineRule="exact"/>
              <w:jc w:val="center"/>
              <w:rPr>
                <w:rFonts w:ascii="仿宋_GB2312" w:hAnsi="仿宋_GB2312" w:eastAsia="仿宋_GB2312" w:cs="仿宋_GB2312"/>
                <w:sz w:val="32"/>
                <w:szCs w:val="32"/>
              </w:rPr>
            </w:pPr>
          </w:p>
        </w:tc>
        <w:tc>
          <w:tcPr>
            <w:tcW w:w="986" w:type="dxa"/>
            <w:vAlign w:val="center"/>
          </w:tcPr>
          <w:p>
            <w:pPr>
              <w:spacing w:line="540" w:lineRule="exact"/>
              <w:jc w:val="center"/>
              <w:rPr>
                <w:rFonts w:ascii="仿宋_GB2312" w:hAnsi="仿宋_GB2312" w:eastAsia="仿宋_GB2312" w:cs="仿宋_GB2312"/>
                <w:sz w:val="32"/>
                <w:szCs w:val="32"/>
              </w:rPr>
            </w:pPr>
          </w:p>
        </w:tc>
        <w:tc>
          <w:tcPr>
            <w:tcW w:w="1044" w:type="dxa"/>
            <w:vMerge w:val="continue"/>
            <w:vAlign w:val="center"/>
          </w:tcPr>
          <w:p>
            <w:pPr>
              <w:spacing w:line="540" w:lineRule="exact"/>
              <w:jc w:val="center"/>
              <w:rPr>
                <w:rFonts w:ascii="仿宋_GB2312" w:hAnsi="仿宋_GB2312" w:eastAsia="仿宋_GB2312" w:cs="仿宋_GB2312"/>
                <w:sz w:val="32"/>
                <w:szCs w:val="32"/>
              </w:rPr>
            </w:pPr>
          </w:p>
        </w:tc>
        <w:tc>
          <w:tcPr>
            <w:tcW w:w="899" w:type="dxa"/>
            <w:vAlign w:val="center"/>
          </w:tcPr>
          <w:p>
            <w:pPr>
              <w:spacing w:line="540" w:lineRule="exact"/>
              <w:jc w:val="center"/>
              <w:rPr>
                <w:rFonts w:ascii="仿宋_GB2312" w:hAnsi="仿宋_GB2312" w:eastAsia="仿宋_GB2312" w:cs="仿宋_GB2312"/>
                <w:sz w:val="32"/>
                <w:szCs w:val="32"/>
              </w:rPr>
            </w:pPr>
          </w:p>
        </w:tc>
        <w:tc>
          <w:tcPr>
            <w:tcW w:w="1030" w:type="dxa"/>
            <w:vAlign w:val="center"/>
          </w:tcPr>
          <w:p>
            <w:pPr>
              <w:spacing w:line="540" w:lineRule="exact"/>
              <w:jc w:val="center"/>
              <w:rPr>
                <w:rFonts w:ascii="仿宋_GB2312" w:hAnsi="仿宋_GB2312" w:eastAsia="仿宋_GB2312" w:cs="仿宋_GB2312"/>
                <w:sz w:val="32"/>
                <w:szCs w:val="32"/>
              </w:rPr>
            </w:pPr>
          </w:p>
        </w:tc>
        <w:tc>
          <w:tcPr>
            <w:tcW w:w="1500" w:type="dxa"/>
            <w:vAlign w:val="center"/>
          </w:tcPr>
          <w:p>
            <w:pPr>
              <w:spacing w:line="540" w:lineRule="exact"/>
              <w:jc w:val="center"/>
              <w:rPr>
                <w:rFonts w:ascii="仿宋_GB2312" w:hAnsi="仿宋_GB2312" w:eastAsia="仿宋_GB2312" w:cs="仿宋_GB2312"/>
                <w:sz w:val="32"/>
                <w:szCs w:val="32"/>
              </w:rPr>
            </w:pPr>
          </w:p>
        </w:tc>
        <w:tc>
          <w:tcPr>
            <w:tcW w:w="920" w:type="dxa"/>
            <w:vAlign w:val="center"/>
          </w:tcPr>
          <w:p>
            <w:pPr>
              <w:spacing w:line="540" w:lineRule="exact"/>
              <w:jc w:val="center"/>
              <w:rPr>
                <w:rFonts w:ascii="仿宋_GB2312" w:hAnsi="仿宋_GB2312" w:eastAsia="仿宋_GB2312" w:cs="仿宋_GB2312"/>
                <w:sz w:val="32"/>
                <w:szCs w:val="32"/>
              </w:rPr>
            </w:pPr>
          </w:p>
        </w:tc>
        <w:tc>
          <w:tcPr>
            <w:tcW w:w="934" w:type="dxa"/>
            <w:vAlign w:val="center"/>
          </w:tcPr>
          <w:p>
            <w:pPr>
              <w:spacing w:line="540" w:lineRule="exact"/>
              <w:jc w:val="center"/>
              <w:rPr>
                <w:rFonts w:ascii="仿宋_GB2312" w:hAnsi="仿宋_GB2312" w:eastAsia="仿宋_GB2312" w:cs="仿宋_GB2312"/>
                <w:sz w:val="32"/>
                <w:szCs w:val="32"/>
              </w:rPr>
            </w:pPr>
          </w:p>
        </w:tc>
        <w:tc>
          <w:tcPr>
            <w:tcW w:w="932" w:type="dxa"/>
            <w:vAlign w:val="center"/>
          </w:tcPr>
          <w:p>
            <w:pPr>
              <w:spacing w:line="540" w:lineRule="exact"/>
              <w:jc w:val="center"/>
              <w:rPr>
                <w:rFonts w:ascii="仿宋_GB2312" w:hAnsi="仿宋_GB2312" w:eastAsia="仿宋_GB2312" w:cs="仿宋_GB2312"/>
                <w:sz w:val="32"/>
                <w:szCs w:val="32"/>
              </w:rPr>
            </w:pPr>
          </w:p>
        </w:tc>
        <w:tc>
          <w:tcPr>
            <w:tcW w:w="964" w:type="dxa"/>
            <w:vAlign w:val="center"/>
          </w:tcPr>
          <w:p>
            <w:pPr>
              <w:spacing w:line="540" w:lineRule="exact"/>
              <w:jc w:val="center"/>
              <w:rPr>
                <w:rFonts w:ascii="仿宋_GB2312" w:hAnsi="仿宋_GB2312" w:eastAsia="仿宋_GB2312" w:cs="仿宋_GB2312"/>
                <w:sz w:val="32"/>
                <w:szCs w:val="32"/>
              </w:rPr>
            </w:pPr>
          </w:p>
        </w:tc>
        <w:tc>
          <w:tcPr>
            <w:tcW w:w="1191" w:type="dxa"/>
            <w:vAlign w:val="center"/>
          </w:tcPr>
          <w:p>
            <w:pPr>
              <w:spacing w:line="540" w:lineRule="exact"/>
              <w:jc w:val="left"/>
              <w:rPr>
                <w:rFonts w:ascii="仿宋_GB2312" w:hAnsi="仿宋_GB2312" w:eastAsia="仿宋_GB2312" w:cs="仿宋_GB2312"/>
                <w:sz w:val="32"/>
                <w:szCs w:val="32"/>
              </w:rPr>
            </w:pPr>
          </w:p>
        </w:tc>
        <w:tc>
          <w:tcPr>
            <w:tcW w:w="907" w:type="dxa"/>
            <w:vAlign w:val="center"/>
          </w:tcPr>
          <w:p>
            <w:pPr>
              <w:spacing w:line="540" w:lineRule="exact"/>
              <w:jc w:val="center"/>
              <w:rPr>
                <w:rFonts w:ascii="仿宋_GB2312" w:hAnsi="仿宋_GB2312" w:eastAsia="仿宋_GB2312" w:cs="仿宋_GB2312"/>
                <w:sz w:val="32"/>
                <w:szCs w:val="32"/>
              </w:rPr>
            </w:pPr>
          </w:p>
        </w:tc>
        <w:tc>
          <w:tcPr>
            <w:tcW w:w="863" w:type="dxa"/>
            <w:vAlign w:val="center"/>
          </w:tcPr>
          <w:p>
            <w:pPr>
              <w:spacing w:line="540" w:lineRule="exact"/>
              <w:jc w:val="center"/>
              <w:rPr>
                <w:rFonts w:ascii="仿宋_GB2312" w:hAnsi="仿宋_GB2312" w:eastAsia="仿宋_GB2312" w:cs="仿宋_GB2312"/>
                <w:sz w:val="32"/>
                <w:szCs w:val="32"/>
              </w:rPr>
            </w:pPr>
          </w:p>
        </w:tc>
        <w:tc>
          <w:tcPr>
            <w:tcW w:w="639" w:type="dxa"/>
            <w:vAlign w:val="center"/>
          </w:tcPr>
          <w:p>
            <w:pPr>
              <w:spacing w:line="540" w:lineRule="exact"/>
              <w:jc w:val="center"/>
              <w:rPr>
                <w:rFonts w:ascii="仿宋_GB2312" w:hAnsi="仿宋_GB2312" w:eastAsia="仿宋_GB2312" w:cs="仿宋_GB2312"/>
                <w:sz w:val="32"/>
                <w:szCs w:val="32"/>
              </w:rPr>
            </w:pPr>
          </w:p>
        </w:tc>
        <w:tc>
          <w:tcPr>
            <w:tcW w:w="856" w:type="dxa"/>
            <w:vAlign w:val="center"/>
          </w:tcPr>
          <w:p>
            <w:pPr>
              <w:spacing w:line="54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0" w:hRule="atLeast"/>
        </w:trPr>
        <w:tc>
          <w:tcPr>
            <w:tcW w:w="464"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986" w:type="dxa"/>
            <w:vAlign w:val="center"/>
          </w:tcPr>
          <w:p>
            <w:pPr>
              <w:spacing w:line="540" w:lineRule="exact"/>
              <w:jc w:val="center"/>
              <w:rPr>
                <w:rFonts w:ascii="仿宋_GB2312" w:hAnsi="仿宋_GB2312" w:eastAsia="仿宋_GB2312" w:cs="仿宋_GB2312"/>
                <w:sz w:val="32"/>
                <w:szCs w:val="32"/>
              </w:rPr>
            </w:pPr>
          </w:p>
        </w:tc>
        <w:tc>
          <w:tcPr>
            <w:tcW w:w="1044" w:type="dxa"/>
            <w:vAlign w:val="center"/>
          </w:tcPr>
          <w:p>
            <w:pPr>
              <w:spacing w:line="540" w:lineRule="exact"/>
              <w:jc w:val="center"/>
              <w:rPr>
                <w:rFonts w:ascii="仿宋_GB2312" w:hAnsi="仿宋_GB2312" w:eastAsia="仿宋_GB2312" w:cs="仿宋_GB2312"/>
                <w:sz w:val="32"/>
                <w:szCs w:val="32"/>
              </w:rPr>
            </w:pPr>
          </w:p>
        </w:tc>
        <w:tc>
          <w:tcPr>
            <w:tcW w:w="899" w:type="dxa"/>
            <w:vAlign w:val="center"/>
          </w:tcPr>
          <w:p>
            <w:pPr>
              <w:spacing w:line="540" w:lineRule="exact"/>
              <w:jc w:val="center"/>
              <w:rPr>
                <w:rFonts w:ascii="仿宋_GB2312" w:hAnsi="仿宋_GB2312" w:eastAsia="仿宋_GB2312" w:cs="仿宋_GB2312"/>
                <w:sz w:val="32"/>
                <w:szCs w:val="32"/>
              </w:rPr>
            </w:pPr>
          </w:p>
        </w:tc>
        <w:tc>
          <w:tcPr>
            <w:tcW w:w="1030" w:type="dxa"/>
            <w:vAlign w:val="center"/>
          </w:tcPr>
          <w:p>
            <w:pPr>
              <w:spacing w:line="540" w:lineRule="exact"/>
              <w:jc w:val="center"/>
              <w:rPr>
                <w:rFonts w:ascii="仿宋_GB2312" w:hAnsi="仿宋_GB2312" w:eastAsia="仿宋_GB2312" w:cs="仿宋_GB2312"/>
                <w:sz w:val="32"/>
                <w:szCs w:val="32"/>
              </w:rPr>
            </w:pPr>
          </w:p>
        </w:tc>
        <w:tc>
          <w:tcPr>
            <w:tcW w:w="1500" w:type="dxa"/>
            <w:vAlign w:val="center"/>
          </w:tcPr>
          <w:p>
            <w:pPr>
              <w:spacing w:line="540" w:lineRule="exact"/>
              <w:jc w:val="center"/>
              <w:rPr>
                <w:rFonts w:ascii="仿宋_GB2312" w:hAnsi="仿宋_GB2312" w:eastAsia="仿宋_GB2312" w:cs="仿宋_GB2312"/>
                <w:sz w:val="32"/>
                <w:szCs w:val="32"/>
              </w:rPr>
            </w:pPr>
          </w:p>
        </w:tc>
        <w:tc>
          <w:tcPr>
            <w:tcW w:w="920" w:type="dxa"/>
            <w:vAlign w:val="center"/>
          </w:tcPr>
          <w:p>
            <w:pPr>
              <w:spacing w:line="540" w:lineRule="exact"/>
              <w:jc w:val="center"/>
              <w:rPr>
                <w:rFonts w:ascii="仿宋_GB2312" w:hAnsi="仿宋_GB2312" w:eastAsia="仿宋_GB2312" w:cs="仿宋_GB2312"/>
                <w:sz w:val="32"/>
                <w:szCs w:val="32"/>
              </w:rPr>
            </w:pPr>
          </w:p>
        </w:tc>
        <w:tc>
          <w:tcPr>
            <w:tcW w:w="934" w:type="dxa"/>
            <w:vAlign w:val="center"/>
          </w:tcPr>
          <w:p>
            <w:pPr>
              <w:spacing w:line="540" w:lineRule="exact"/>
              <w:jc w:val="center"/>
              <w:rPr>
                <w:rFonts w:ascii="仿宋_GB2312" w:hAnsi="仿宋_GB2312" w:eastAsia="仿宋_GB2312" w:cs="仿宋_GB2312"/>
                <w:sz w:val="32"/>
                <w:szCs w:val="32"/>
              </w:rPr>
            </w:pPr>
          </w:p>
        </w:tc>
        <w:tc>
          <w:tcPr>
            <w:tcW w:w="932" w:type="dxa"/>
            <w:vAlign w:val="center"/>
          </w:tcPr>
          <w:p>
            <w:pPr>
              <w:spacing w:line="540" w:lineRule="exact"/>
              <w:jc w:val="center"/>
              <w:rPr>
                <w:rFonts w:ascii="仿宋_GB2312" w:hAnsi="仿宋_GB2312" w:eastAsia="仿宋_GB2312" w:cs="仿宋_GB2312"/>
                <w:sz w:val="32"/>
                <w:szCs w:val="32"/>
              </w:rPr>
            </w:pPr>
          </w:p>
        </w:tc>
        <w:tc>
          <w:tcPr>
            <w:tcW w:w="964" w:type="dxa"/>
            <w:vAlign w:val="center"/>
          </w:tcPr>
          <w:p>
            <w:pPr>
              <w:spacing w:line="540" w:lineRule="exact"/>
              <w:jc w:val="center"/>
              <w:rPr>
                <w:rFonts w:ascii="仿宋_GB2312" w:hAnsi="仿宋_GB2312" w:eastAsia="仿宋_GB2312" w:cs="仿宋_GB2312"/>
                <w:sz w:val="32"/>
                <w:szCs w:val="32"/>
              </w:rPr>
            </w:pPr>
          </w:p>
        </w:tc>
        <w:tc>
          <w:tcPr>
            <w:tcW w:w="1191" w:type="dxa"/>
            <w:vAlign w:val="center"/>
          </w:tcPr>
          <w:p>
            <w:pPr>
              <w:spacing w:line="540" w:lineRule="exact"/>
              <w:jc w:val="left"/>
              <w:rPr>
                <w:rFonts w:ascii="仿宋_GB2312" w:hAnsi="仿宋_GB2312" w:eastAsia="仿宋_GB2312" w:cs="仿宋_GB2312"/>
                <w:sz w:val="32"/>
                <w:szCs w:val="32"/>
              </w:rPr>
            </w:pPr>
          </w:p>
        </w:tc>
        <w:tc>
          <w:tcPr>
            <w:tcW w:w="907" w:type="dxa"/>
            <w:vAlign w:val="center"/>
          </w:tcPr>
          <w:p>
            <w:pPr>
              <w:spacing w:line="540" w:lineRule="exact"/>
              <w:jc w:val="center"/>
              <w:rPr>
                <w:rFonts w:ascii="仿宋_GB2312" w:hAnsi="仿宋_GB2312" w:eastAsia="仿宋_GB2312" w:cs="仿宋_GB2312"/>
                <w:sz w:val="32"/>
                <w:szCs w:val="32"/>
              </w:rPr>
            </w:pPr>
          </w:p>
        </w:tc>
        <w:tc>
          <w:tcPr>
            <w:tcW w:w="863" w:type="dxa"/>
            <w:vAlign w:val="center"/>
          </w:tcPr>
          <w:p>
            <w:pPr>
              <w:spacing w:line="540" w:lineRule="exact"/>
              <w:jc w:val="center"/>
              <w:rPr>
                <w:rFonts w:ascii="仿宋_GB2312" w:hAnsi="仿宋_GB2312" w:eastAsia="仿宋_GB2312" w:cs="仿宋_GB2312"/>
                <w:sz w:val="32"/>
                <w:szCs w:val="32"/>
              </w:rPr>
            </w:pPr>
          </w:p>
        </w:tc>
        <w:tc>
          <w:tcPr>
            <w:tcW w:w="639" w:type="dxa"/>
            <w:vAlign w:val="center"/>
          </w:tcPr>
          <w:p>
            <w:pPr>
              <w:spacing w:line="540" w:lineRule="exact"/>
              <w:jc w:val="center"/>
              <w:rPr>
                <w:rFonts w:ascii="仿宋_GB2312" w:hAnsi="仿宋_GB2312" w:eastAsia="仿宋_GB2312" w:cs="仿宋_GB2312"/>
                <w:sz w:val="32"/>
                <w:szCs w:val="32"/>
              </w:rPr>
            </w:pPr>
          </w:p>
        </w:tc>
        <w:tc>
          <w:tcPr>
            <w:tcW w:w="856" w:type="dxa"/>
            <w:vAlign w:val="center"/>
          </w:tcPr>
          <w:p>
            <w:pPr>
              <w:spacing w:line="540" w:lineRule="exact"/>
              <w:jc w:val="center"/>
              <w:rPr>
                <w:rFonts w:ascii="仿宋_GB2312" w:hAnsi="仿宋_GB2312" w:eastAsia="仿宋_GB2312" w:cs="仿宋_GB2312"/>
                <w:sz w:val="32"/>
                <w:szCs w:val="32"/>
              </w:rPr>
            </w:pPr>
          </w:p>
        </w:tc>
      </w:tr>
    </w:tbl>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填表人：曹锡洪           复核人：黄 珍                联系电话：0759-7780598</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bookmarkStart w:id="0" w:name="_GoBack"/>
      <w:bookmarkEnd w:id="0"/>
    </w:p>
    <w:sectPr>
      <w:pgSz w:w="16838" w:h="11906" w:orient="landscape"/>
      <w:pgMar w:top="1009" w:right="1440" w:bottom="1066"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C829F"/>
    <w:multiLevelType w:val="singleLevel"/>
    <w:tmpl w:val="58FC829F"/>
    <w:lvl w:ilvl="0" w:tentative="0">
      <w:start w:val="1"/>
      <w:numFmt w:val="decimal"/>
      <w:suff w:val="nothing"/>
      <w:lvlText w:val="%1．"/>
      <w:lvlJc w:val="left"/>
    </w:lvl>
  </w:abstractNum>
  <w:abstractNum w:abstractNumId="1">
    <w:nsid w:val="58FC83B4"/>
    <w:multiLevelType w:val="singleLevel"/>
    <w:tmpl w:val="58FC83B4"/>
    <w:lvl w:ilvl="0" w:tentative="0">
      <w:start w:val="1"/>
      <w:numFmt w:val="decimal"/>
      <w:suff w:val="nothing"/>
      <w:lvlText w:val="%1．"/>
      <w:lvlJc w:val="left"/>
    </w:lvl>
  </w:abstractNum>
  <w:abstractNum w:abstractNumId="2">
    <w:nsid w:val="58FC83C6"/>
    <w:multiLevelType w:val="singleLevel"/>
    <w:tmpl w:val="58FC83C6"/>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70E0"/>
    <w:rsid w:val="0001591C"/>
    <w:rsid w:val="00084F12"/>
    <w:rsid w:val="000C14C7"/>
    <w:rsid w:val="000D0D0E"/>
    <w:rsid w:val="001272F9"/>
    <w:rsid w:val="001316E4"/>
    <w:rsid w:val="001B05F1"/>
    <w:rsid w:val="001D1ADB"/>
    <w:rsid w:val="001E1C9D"/>
    <w:rsid w:val="001E1E75"/>
    <w:rsid w:val="001F6015"/>
    <w:rsid w:val="00207FF0"/>
    <w:rsid w:val="00255E5A"/>
    <w:rsid w:val="00260C71"/>
    <w:rsid w:val="002B6FF3"/>
    <w:rsid w:val="002C1E0D"/>
    <w:rsid w:val="002D4504"/>
    <w:rsid w:val="002D74D2"/>
    <w:rsid w:val="002E076E"/>
    <w:rsid w:val="002E4865"/>
    <w:rsid w:val="002F6982"/>
    <w:rsid w:val="002F6D79"/>
    <w:rsid w:val="00300203"/>
    <w:rsid w:val="00396982"/>
    <w:rsid w:val="003E2FAF"/>
    <w:rsid w:val="003F24A8"/>
    <w:rsid w:val="00407DD5"/>
    <w:rsid w:val="00435FBB"/>
    <w:rsid w:val="00472CFA"/>
    <w:rsid w:val="004B6DE3"/>
    <w:rsid w:val="00513560"/>
    <w:rsid w:val="00531C23"/>
    <w:rsid w:val="005806B9"/>
    <w:rsid w:val="005C000A"/>
    <w:rsid w:val="0061167D"/>
    <w:rsid w:val="006269F9"/>
    <w:rsid w:val="00627BFC"/>
    <w:rsid w:val="006428FF"/>
    <w:rsid w:val="006B0865"/>
    <w:rsid w:val="006E4754"/>
    <w:rsid w:val="006F0E04"/>
    <w:rsid w:val="007053E1"/>
    <w:rsid w:val="00717CA2"/>
    <w:rsid w:val="0074265F"/>
    <w:rsid w:val="007631CB"/>
    <w:rsid w:val="00771BBB"/>
    <w:rsid w:val="007861E4"/>
    <w:rsid w:val="00792F3D"/>
    <w:rsid w:val="007B1CCE"/>
    <w:rsid w:val="008070E0"/>
    <w:rsid w:val="00843D04"/>
    <w:rsid w:val="00883DE3"/>
    <w:rsid w:val="008A0AF9"/>
    <w:rsid w:val="008A3951"/>
    <w:rsid w:val="008F6E55"/>
    <w:rsid w:val="009157C0"/>
    <w:rsid w:val="0094754C"/>
    <w:rsid w:val="00952A75"/>
    <w:rsid w:val="009B47FA"/>
    <w:rsid w:val="009B6437"/>
    <w:rsid w:val="009D4CE4"/>
    <w:rsid w:val="00A03B06"/>
    <w:rsid w:val="00A32B5B"/>
    <w:rsid w:val="00A749C6"/>
    <w:rsid w:val="00A76C80"/>
    <w:rsid w:val="00A9535C"/>
    <w:rsid w:val="00B142E3"/>
    <w:rsid w:val="00B149E2"/>
    <w:rsid w:val="00B441EE"/>
    <w:rsid w:val="00B85182"/>
    <w:rsid w:val="00BA2B7A"/>
    <w:rsid w:val="00C00FB1"/>
    <w:rsid w:val="00C26F0D"/>
    <w:rsid w:val="00C2750E"/>
    <w:rsid w:val="00C43EF2"/>
    <w:rsid w:val="00C61D78"/>
    <w:rsid w:val="00C63B82"/>
    <w:rsid w:val="00C736A4"/>
    <w:rsid w:val="00CA0C2C"/>
    <w:rsid w:val="00CB5D78"/>
    <w:rsid w:val="00CC0892"/>
    <w:rsid w:val="00CC0EE3"/>
    <w:rsid w:val="00CC4B29"/>
    <w:rsid w:val="00CD3DE1"/>
    <w:rsid w:val="00CD50D3"/>
    <w:rsid w:val="00CF1C14"/>
    <w:rsid w:val="00D101AD"/>
    <w:rsid w:val="00D6460E"/>
    <w:rsid w:val="00E031DE"/>
    <w:rsid w:val="00E65A1F"/>
    <w:rsid w:val="00E943FF"/>
    <w:rsid w:val="00EA1BBF"/>
    <w:rsid w:val="00EE6869"/>
    <w:rsid w:val="00F02D91"/>
    <w:rsid w:val="00F03AAE"/>
    <w:rsid w:val="00F124C1"/>
    <w:rsid w:val="00F51DAF"/>
    <w:rsid w:val="00FA160A"/>
    <w:rsid w:val="00FD53DE"/>
    <w:rsid w:val="01493E37"/>
    <w:rsid w:val="029A3D73"/>
    <w:rsid w:val="030A460D"/>
    <w:rsid w:val="048C57DC"/>
    <w:rsid w:val="04D515D5"/>
    <w:rsid w:val="052846FA"/>
    <w:rsid w:val="05BA7EFF"/>
    <w:rsid w:val="05BC1340"/>
    <w:rsid w:val="061248D1"/>
    <w:rsid w:val="075E18A7"/>
    <w:rsid w:val="0A194E2B"/>
    <w:rsid w:val="0A86246F"/>
    <w:rsid w:val="0B044FC0"/>
    <w:rsid w:val="0BF8220B"/>
    <w:rsid w:val="103F2C60"/>
    <w:rsid w:val="12755512"/>
    <w:rsid w:val="128D56C4"/>
    <w:rsid w:val="12A20C4D"/>
    <w:rsid w:val="134C79BA"/>
    <w:rsid w:val="136A094C"/>
    <w:rsid w:val="14AC2774"/>
    <w:rsid w:val="15070E8B"/>
    <w:rsid w:val="150B639D"/>
    <w:rsid w:val="1A284374"/>
    <w:rsid w:val="1AB318E2"/>
    <w:rsid w:val="1AD77AEF"/>
    <w:rsid w:val="1F783B2E"/>
    <w:rsid w:val="203E2DE2"/>
    <w:rsid w:val="20D1504E"/>
    <w:rsid w:val="21E86703"/>
    <w:rsid w:val="22D74B12"/>
    <w:rsid w:val="24095E5F"/>
    <w:rsid w:val="24286B8F"/>
    <w:rsid w:val="247815C4"/>
    <w:rsid w:val="262C1B53"/>
    <w:rsid w:val="264E07C8"/>
    <w:rsid w:val="276241FA"/>
    <w:rsid w:val="28442B08"/>
    <w:rsid w:val="2A0C346F"/>
    <w:rsid w:val="2ABA3CB9"/>
    <w:rsid w:val="2B1F3FAC"/>
    <w:rsid w:val="2BE03CD4"/>
    <w:rsid w:val="2C1C4DD3"/>
    <w:rsid w:val="2DA53319"/>
    <w:rsid w:val="2E074D00"/>
    <w:rsid w:val="2E7224D1"/>
    <w:rsid w:val="34213AD5"/>
    <w:rsid w:val="37881AB3"/>
    <w:rsid w:val="382D74A1"/>
    <w:rsid w:val="39C04EDB"/>
    <w:rsid w:val="3ACF7A7F"/>
    <w:rsid w:val="3CF7151C"/>
    <w:rsid w:val="3D50091D"/>
    <w:rsid w:val="3D923173"/>
    <w:rsid w:val="3E0879F2"/>
    <w:rsid w:val="3F2B65F7"/>
    <w:rsid w:val="41015CA7"/>
    <w:rsid w:val="426802E4"/>
    <w:rsid w:val="43055D02"/>
    <w:rsid w:val="44ED0DA9"/>
    <w:rsid w:val="44FD0F7B"/>
    <w:rsid w:val="484906DE"/>
    <w:rsid w:val="487D7953"/>
    <w:rsid w:val="49293E79"/>
    <w:rsid w:val="49A73FD6"/>
    <w:rsid w:val="4A863235"/>
    <w:rsid w:val="51806830"/>
    <w:rsid w:val="51DB2CE0"/>
    <w:rsid w:val="5290095B"/>
    <w:rsid w:val="529F50BC"/>
    <w:rsid w:val="541B4198"/>
    <w:rsid w:val="551F6339"/>
    <w:rsid w:val="599B6E6D"/>
    <w:rsid w:val="59BB1ED0"/>
    <w:rsid w:val="5B677045"/>
    <w:rsid w:val="5C832C43"/>
    <w:rsid w:val="5D2929B8"/>
    <w:rsid w:val="5DD16865"/>
    <w:rsid w:val="61203499"/>
    <w:rsid w:val="64173583"/>
    <w:rsid w:val="6648213D"/>
    <w:rsid w:val="681E4851"/>
    <w:rsid w:val="68512D0A"/>
    <w:rsid w:val="69134F6F"/>
    <w:rsid w:val="69244714"/>
    <w:rsid w:val="6AC67275"/>
    <w:rsid w:val="6B975355"/>
    <w:rsid w:val="6BEB61A8"/>
    <w:rsid w:val="6CA86981"/>
    <w:rsid w:val="701414EF"/>
    <w:rsid w:val="72D839AC"/>
    <w:rsid w:val="742B0727"/>
    <w:rsid w:val="74C026B9"/>
    <w:rsid w:val="7704446D"/>
    <w:rsid w:val="77561771"/>
    <w:rsid w:val="7B585171"/>
    <w:rsid w:val="7BD903F9"/>
    <w:rsid w:val="7C883378"/>
    <w:rsid w:val="7ED57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 w:type="character" w:customStyle="1" w:styleId="8">
    <w:name w:val="font01"/>
    <w:basedOn w:val="4"/>
    <w:uiPriority w:val="0"/>
    <w:rPr>
      <w:rFonts w:hint="eastAsia" w:ascii="黑体" w:hAnsi="宋体" w:eastAsia="黑体" w:cs="黑体"/>
      <w:color w:val="000000"/>
      <w:sz w:val="16"/>
      <w:szCs w:val="16"/>
      <w:u w:val="none"/>
    </w:rPr>
  </w:style>
  <w:style w:type="character" w:customStyle="1" w:styleId="9">
    <w:name w:val="font11"/>
    <w:basedOn w:val="4"/>
    <w:uiPriority w:val="0"/>
    <w:rPr>
      <w:rFonts w:hint="eastAsia" w:ascii="黑体" w:hAnsi="宋体" w:eastAsia="黑体" w:cs="黑体"/>
      <w:b/>
      <w:color w:val="000000"/>
      <w:sz w:val="16"/>
      <w:szCs w:val="16"/>
      <w:u w:val="none"/>
    </w:rPr>
  </w:style>
  <w:style w:type="character" w:customStyle="1" w:styleId="10">
    <w:name w:val="font21"/>
    <w:basedOn w:val="4"/>
    <w:uiPriority w:val="0"/>
    <w:rPr>
      <w:rFonts w:hint="eastAsia" w:ascii="黑体" w:hAnsi="宋体" w:eastAsia="黑体" w:cs="黑体"/>
      <w:color w:val="000000"/>
      <w:sz w:val="16"/>
      <w:szCs w:val="16"/>
      <w:u w:val="none"/>
    </w:rPr>
  </w:style>
  <w:style w:type="character" w:customStyle="1" w:styleId="11">
    <w:name w:val="font31"/>
    <w:basedOn w:val="4"/>
    <w:uiPriority w:val="0"/>
    <w:rPr>
      <w:rFonts w:hint="eastAsia" w:ascii="黑体" w:hAnsi="宋体" w:eastAsia="黑体" w:cs="黑体"/>
      <w:b/>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1743</Words>
  <Characters>9940</Characters>
  <Lines>82</Lines>
  <Paragraphs>23</Paragraphs>
  <TotalTime>0</TotalTime>
  <ScaleCrop>false</ScaleCrop>
  <LinksUpToDate>false</LinksUpToDate>
  <CharactersWithSpaces>11660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2017-03-13T01:06:00Z</dcterms:created>
  <dc:creator>谭小丽</dc:creator>
  <cp:lastModifiedBy>Administrator</cp:lastModifiedBy>
  <cp:lastPrinted>2017-04-26T08:55:00Z</cp:lastPrinted>
  <dcterms:modified xsi:type="dcterms:W3CDTF">2017-11-16T07:49:05Z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