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812" w:tblpY="1218"/>
        <w:tblW w:w="1008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4029"/>
        <w:gridCol w:w="651"/>
        <w:gridCol w:w="337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b/>
                <w:sz w:val="24"/>
                <w:szCs w:val="20"/>
              </w:rPr>
            </w:pPr>
            <w:r>
              <w:rPr>
                <w:rFonts w:ascii="宋体"/>
                <w:b/>
                <w:sz w:val="24"/>
                <w:szCs w:val="20"/>
              </w:rPr>
              <w:drawing>
                <wp:inline distT="0" distB="0" distL="114300" distR="114300">
                  <wp:extent cx="1016635" cy="1022985"/>
                  <wp:effectExtent l="0" t="0" r="12065" b="5715"/>
                  <wp:docPr id="3" name="图片 1" descr="693551896135098144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69355189613509814410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/>
                <w:b/>
                <w:color w:val="99CC00"/>
                <w:sz w:val="24"/>
                <w:szCs w:val="20"/>
              </w:rPr>
              <w:pict>
                <v:shape id="_x0000_i1025" o:spt="145" type="#_x0000_t145" style="height:16.9pt;width:72pt;" fillcolor="#FFFF00" filled="t" stroked="f" coordsize="21600,21600" adj="0,5400">
                  <v:path/>
                  <v:fill type="gradientRadial" on="t" color2="#FF9933" angle="-135" focus="100%" focussize="0f,0f" focusposition="32768f,32768f" rotate="t">
                    <o:fill type="gradientCenter" v:ext="backwardCompatible"/>
                  </v:fill>
                  <v:stroke on="f"/>
                  <v:imagedata o:title=""/>
                  <o:lock v:ext="edit" grouping="f" rotation="f" text="f" aspectratio="f"/>
                  <v:textpath on="t" fitshape="t" fitpath="t" trim="t" xscale="f" string="湛江红日" style="font-family:华文行楷;font-size:18pt;v-text-align:center;"/>
                  <v:shadow on="t" color="#C0C0C0" opacity="51118f"/>
                  <w10:wrap type="none"/>
                  <w10:anchorlock/>
                </v:shape>
              </w:pict>
            </w:r>
          </w:p>
        </w:tc>
        <w:tc>
          <w:tcPr>
            <w:tcW w:w="46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b/>
                <w:w w:val="200"/>
                <w:sz w:val="36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b/>
                <w:w w:val="130"/>
                <w:sz w:val="24"/>
                <w:szCs w:val="24"/>
              </w:rPr>
              <w:t>湛江市红日稀土</w:t>
            </w:r>
            <w:r>
              <w:rPr>
                <w:rFonts w:hint="eastAsia" w:ascii="华文中宋" w:hAnsi="华文中宋" w:eastAsia="华文中宋" w:cs="华文中宋"/>
                <w:b/>
                <w:spacing w:val="20"/>
                <w:sz w:val="24"/>
                <w:szCs w:val="24"/>
              </w:rPr>
              <w:t>有限公司</w:t>
            </w:r>
            <w:r>
              <w:rPr>
                <w:rFonts w:hint="eastAsia" w:ascii="华文中宋" w:hAnsi="华文中宋" w:eastAsia="华文中宋" w:cs="华文中宋"/>
                <w:b/>
                <w:sz w:val="24"/>
                <w:szCs w:val="24"/>
              </w:rPr>
              <w:t>管理文件</w:t>
            </w:r>
          </w:p>
        </w:tc>
        <w:tc>
          <w:tcPr>
            <w:tcW w:w="33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 w:cs="华文中宋"/>
                <w:b/>
                <w:w w:val="200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w w:val="100"/>
                <w:sz w:val="21"/>
                <w:szCs w:val="21"/>
                <w:lang w:eastAsia="zh-CN"/>
              </w:rPr>
              <w:t>环境自行监测方案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业务模块：【</w:t>
            </w:r>
            <w:r>
              <w:rPr>
                <w:rFonts w:hint="eastAsia" w:ascii="华文中宋" w:hAnsi="华文中宋" w:eastAsia="华文中宋" w:cs="华文中宋"/>
                <w:szCs w:val="21"/>
                <w:lang w:eastAsia="zh-CN"/>
              </w:rPr>
              <w:t>安全、环保管理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】</w:t>
            </w:r>
          </w:p>
        </w:tc>
        <w:tc>
          <w:tcPr>
            <w:tcW w:w="4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文件执行人或部门：【</w:t>
            </w:r>
            <w:r>
              <w:rPr>
                <w:rFonts w:hint="eastAsia" w:ascii="华文中宋" w:hAnsi="华文中宋" w:eastAsia="华文中宋" w:cs="华文中宋"/>
                <w:szCs w:val="21"/>
                <w:lang w:eastAsia="zh-CN"/>
              </w:rPr>
              <w:t>稀土厂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文件编号：【】</w:t>
            </w:r>
          </w:p>
        </w:tc>
        <w:tc>
          <w:tcPr>
            <w:tcW w:w="4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拟      制：【</w:t>
            </w:r>
            <w:r>
              <w:rPr>
                <w:rFonts w:hint="eastAsia" w:ascii="华文中宋" w:hAnsi="华文中宋" w:eastAsia="华文中宋" w:cs="华文中宋"/>
                <w:szCs w:val="21"/>
                <w:lang w:eastAsia="zh-CN"/>
              </w:rPr>
              <w:t>周晖东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0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版    本：【</w:t>
            </w:r>
            <w:r>
              <w:rPr>
                <w:rFonts w:hint="eastAsia" w:ascii="华文中宋" w:hAnsi="华文中宋" w:eastAsia="华文中宋" w:cs="华文中宋"/>
                <w:szCs w:val="21"/>
                <w:lang w:val="en-US" w:eastAsia="zh-CN"/>
              </w:rPr>
              <w:t>A/O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】</w:t>
            </w:r>
          </w:p>
        </w:tc>
        <w:tc>
          <w:tcPr>
            <w:tcW w:w="4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审      核：【</w:t>
            </w:r>
            <w:r>
              <w:rPr>
                <w:rFonts w:hint="eastAsia" w:ascii="华文中宋" w:hAnsi="华文中宋" w:eastAsia="华文中宋" w:cs="华文中宋"/>
                <w:szCs w:val="21"/>
                <w:lang w:eastAsia="zh-CN"/>
              </w:rPr>
              <w:t>安全环保领导小组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0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生效日期：【</w:t>
            </w:r>
            <w:r>
              <w:rPr>
                <w:rFonts w:hint="eastAsia" w:ascii="华文中宋" w:hAnsi="华文中宋" w:eastAsia="华文中宋" w:cs="华文中宋"/>
                <w:szCs w:val="21"/>
                <w:lang w:val="en-US" w:eastAsia="zh-CN"/>
              </w:rPr>
              <w:t>公布之日起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】</w:t>
            </w:r>
          </w:p>
        </w:tc>
        <w:tc>
          <w:tcPr>
            <w:tcW w:w="402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批      准：【</w:t>
            </w:r>
            <w:r>
              <w:rPr>
                <w:rFonts w:hint="eastAsia" w:ascii="华文中宋" w:hAnsi="华文中宋" w:eastAsia="华文中宋" w:cs="华文中宋"/>
                <w:szCs w:val="21"/>
                <w:lang w:eastAsia="zh-CN"/>
              </w:rPr>
              <w:t>郑义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】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eastAsia="zh-CN"/>
        </w:rPr>
        <w:t>环境自行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  <w:t>监测方案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440876766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为了做好生产全过程的环保工作，减轻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外排污染物对环境的影响程度，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了安全环保领导小组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，专人负责环保工作，实行定岗定员，岗位责任制，负责各生产环节的环境保护管理，保证环保设施的正常运行。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环保责任人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2.1、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保持与环保主管机构的密切联系，及时了解国家、地方有关环保的法律、法规和其它要求，及时向环保主管机构反映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有关的污染因素、存在的问题、采取的污染控制对策等环保方面的内容，听取环保主管机构的批示意见。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2.2、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及时将国家、地方有关环保的法律、法规和其它要求向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负责人汇报，及时向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有关机构、人员进行通报，组织职工进行环保方面的教育、培训，提高环保意识。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2.3、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负责人汇报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有关的污染因素、存在问题、采取的污染控制对策、实施情况等，提出改进建议。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2.4、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负责制定、监督实施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有关环保管理规章制度，负责实施污染控制措施、管理污染治理设施，并进行详细的记录、以备检查。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2.5、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提出的各项环保措施，编制详细的环保措施落实计划，明确各污染源位置、环境影响、环保措施、落实责任机构（人）等，并将环保计划以书面形式发放给相关人员，以便于各项措施的有效落实。</w:t>
      </w:r>
    </w:p>
    <w:p>
      <w:pPr>
        <w:pStyle w:val="4"/>
        <w:keepNext w:val="0"/>
        <w:tabs>
          <w:tab w:val="left" w:pos="720"/>
          <w:tab w:val="left" w:pos="1418"/>
        </w:tabs>
        <w:adjustRightInd w:val="0"/>
        <w:spacing w:before="156" w:beforeLines="50" w:after="156" w:afterLines="50"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" w:name="_Toc294018303"/>
      <w:bookmarkStart w:id="2" w:name="_Toc440876911"/>
      <w:bookmarkStart w:id="3" w:name="_Toc301774164"/>
      <w:bookmarkStart w:id="4" w:name="_Toc245789898"/>
      <w:bookmarkStart w:id="5" w:name="_Toc261959091"/>
      <w:bookmarkStart w:id="6" w:name="_Toc343694924"/>
      <w:bookmarkStart w:id="7" w:name="_Toc261985641"/>
      <w:bookmarkStart w:id="8" w:name="_Toc353553964"/>
      <w:bookmarkStart w:id="9" w:name="_Toc261892388"/>
      <w:bookmarkStart w:id="10" w:name="_Toc218747775"/>
      <w:bookmarkStart w:id="11" w:name="_Toc214985277"/>
      <w:bookmarkStart w:id="12" w:name="_Toc213074983"/>
      <w:bookmarkStart w:id="13" w:name="_Toc221967726"/>
      <w:bookmarkStart w:id="14" w:name="_Toc247122099"/>
      <w:bookmarkStart w:id="15" w:name="_Toc238997567"/>
      <w:bookmarkStart w:id="16" w:name="_Toc213765499"/>
      <w:bookmarkStart w:id="17" w:name="_Toc244259623"/>
      <w:bookmarkStart w:id="18" w:name="_Toc222027724"/>
      <w:bookmarkStart w:id="19" w:name="_Toc250703300"/>
      <w:bookmarkStart w:id="20" w:name="_Toc219560358"/>
      <w:bookmarkStart w:id="21" w:name="_Toc213044802"/>
      <w:bookmarkStart w:id="22" w:name="_Toc329878319"/>
      <w:bookmarkStart w:id="23" w:name="_Toc208919374"/>
      <w:bookmarkStart w:id="24" w:name="_Toc215024013"/>
      <w:bookmarkStart w:id="25" w:name="_Toc250641369"/>
      <w:bookmarkStart w:id="26" w:name="_Toc244330372"/>
      <w:bookmarkStart w:id="27" w:name="_Toc219868436"/>
      <w:bookmarkStart w:id="28" w:name="_Toc238990587"/>
      <w:bookmarkStart w:id="29" w:name="_Toc206828604"/>
      <w:bookmarkStart w:id="30" w:name="_Toc210224730"/>
      <w:bookmarkStart w:id="31" w:name="_Toc210226256"/>
      <w:bookmarkStart w:id="32" w:name="_Toc250666364"/>
      <w:bookmarkStart w:id="33" w:name="_Toc294260811"/>
      <w:bookmarkStart w:id="34" w:name="_Toc218750526"/>
      <w:bookmarkStart w:id="35" w:name="_Toc207337939"/>
      <w:bookmarkStart w:id="36" w:name="_Toc208889166"/>
      <w:bookmarkStart w:id="37" w:name="_Toc240341959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监测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方案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line="360" w:lineRule="auto"/>
        <w:ind w:left="0" w:leftChars="0" w:right="0" w:rightChars="0" w:firstLine="0" w:firstLineChars="0"/>
        <w:jc w:val="both"/>
        <w:textAlignment w:val="auto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工艺废</w:t>
      </w:r>
      <w:r>
        <w:rPr>
          <w:rFonts w:hint="eastAsia" w:ascii="仿宋_GB2312" w:hAnsi="仿宋_GB2312" w:eastAsia="仿宋_GB2312" w:cs="仿宋_GB2312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根据国家环保法和对建设项目环境管理的要求，参照《地表水和污水监测技术规范》（HJ/T91-2002），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公司环保责任人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废水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污染物进行监测。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3.1.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工艺废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监测项目和分析方法</w:t>
      </w:r>
    </w:p>
    <w:p>
      <w:pPr>
        <w:pStyle w:val="6"/>
        <w:adjustRightInd w:val="0"/>
        <w:snapToGrid w:val="0"/>
        <w:ind w:firstLine="48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监测项目为：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pH、水温、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悬浮物（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SS）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、水色、气味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采样和分析方法采用国家环保局编的《水和废水环境监测分析方法》（第四版）中规定或推荐的标准分析方法。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项目的分析方法和方法检出限详见下表。</w:t>
      </w:r>
    </w:p>
    <w:p>
      <w:pPr>
        <w:autoSpaceDE w:val="0"/>
        <w:autoSpaceDN w:val="0"/>
        <w:adjustRightInd w:val="0"/>
        <w:spacing w:line="360" w:lineRule="auto"/>
        <w:ind w:firstLine="422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zh-CN"/>
        </w:rPr>
        <w:t>分析方法及方法检出限</w:t>
      </w:r>
    </w:p>
    <w:tbl>
      <w:tblPr>
        <w:tblStyle w:val="14"/>
        <w:tblW w:w="9107" w:type="dxa"/>
        <w:jc w:val="center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85"/>
        <w:gridCol w:w="2727"/>
        <w:gridCol w:w="2166"/>
        <w:gridCol w:w="1688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  <w:t>监测项目</w:t>
            </w:r>
          </w:p>
        </w:tc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  <w:t>分析方法和标准</w:t>
            </w:r>
          </w:p>
        </w:tc>
        <w:tc>
          <w:tcPr>
            <w:tcW w:w="21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使用仪器/型号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  <w:t>方法检出限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水温</w:t>
            </w:r>
          </w:p>
        </w:tc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温度计或颠倒温度计法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GB/T 13195-1991</w:t>
            </w:r>
          </w:p>
        </w:tc>
        <w:tc>
          <w:tcPr>
            <w:tcW w:w="21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温度计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GM900</w:t>
            </w:r>
          </w:p>
        </w:tc>
        <w:tc>
          <w:tcPr>
            <w:tcW w:w="1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0.1℃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pH</w:t>
            </w:r>
          </w:p>
        </w:tc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玻璃电极法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GB/T 6920-1986</w:t>
            </w:r>
          </w:p>
        </w:tc>
        <w:tc>
          <w:tcPr>
            <w:tcW w:w="21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离子计PXS-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85" w:type="dxa"/>
            <w:textDirection w:val="lrTb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悬浮物（SS）</w:t>
            </w:r>
          </w:p>
        </w:tc>
        <w:tc>
          <w:tcPr>
            <w:tcW w:w="2727" w:type="dxa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重量法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GB/T 11901-1989</w:t>
            </w:r>
          </w:p>
        </w:tc>
        <w:tc>
          <w:tcPr>
            <w:tcW w:w="2166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电子天平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LT201</w:t>
            </w:r>
          </w:p>
        </w:tc>
        <w:tc>
          <w:tcPr>
            <w:tcW w:w="1688" w:type="dxa"/>
            <w:textDirection w:val="lrTb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4mg/L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水色</w:t>
            </w:r>
          </w:p>
        </w:tc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眼看</w:t>
            </w:r>
          </w:p>
        </w:tc>
        <w:tc>
          <w:tcPr>
            <w:tcW w:w="216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清澈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气味</w:t>
            </w:r>
          </w:p>
        </w:tc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鼻闻</w:t>
            </w:r>
          </w:p>
        </w:tc>
        <w:tc>
          <w:tcPr>
            <w:tcW w:w="216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无味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spacing w:line="360" w:lineRule="auto"/>
        <w:ind w:firstLine="480" w:firstLineChars="200"/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.1.2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工艺废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点、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监测时间和监测频率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对废水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处理池最后一个池</w:t>
      </w:r>
      <w:r>
        <w:rPr>
          <w:rFonts w:hint="eastAsia" w:ascii="仿宋_GB2312" w:hAnsi="仿宋_GB2312" w:eastAsia="仿宋_GB2312" w:cs="仿宋_GB2312"/>
          <w:sz w:val="32"/>
          <w:szCs w:val="32"/>
        </w:rPr>
        <w:t>的水质进行采样监测，每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（即每班抽取回用水之前）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leftChars="0" w:right="0" w:rightChars="0" w:firstLine="0" w:firstLineChars="0"/>
        <w:jc w:val="both"/>
        <w:textAlignment w:val="auto"/>
        <w:outlineLvl w:val="3"/>
        <w:rPr>
          <w:rFonts w:hint="eastAsia" w:ascii="仿宋_GB2312" w:hAnsi="仿宋_GB2312" w:eastAsia="仿宋_GB2312" w:cs="仿宋_GB2312"/>
          <w:sz w:val="32"/>
          <w:szCs w:val="32"/>
        </w:rPr>
      </w:pPr>
      <w:bookmarkStart w:id="38" w:name="_Toc213044804"/>
      <w:bookmarkStart w:id="39" w:name="_Toc244330374"/>
      <w:bookmarkStart w:id="40" w:name="_Toc247122101"/>
      <w:bookmarkStart w:id="41" w:name="_Toc213074985"/>
      <w:bookmarkStart w:id="42" w:name="_Toc222027726"/>
      <w:bookmarkStart w:id="43" w:name="_Toc218750528"/>
      <w:bookmarkStart w:id="44" w:name="_Toc218747777"/>
      <w:bookmarkStart w:id="45" w:name="_Toc210226258"/>
      <w:bookmarkStart w:id="46" w:name="_Toc250641371"/>
      <w:bookmarkStart w:id="47" w:name="_Toc210224732"/>
      <w:bookmarkStart w:id="48" w:name="_Toc250666366"/>
      <w:bookmarkStart w:id="49" w:name="_Toc221967728"/>
      <w:bookmarkStart w:id="50" w:name="_Toc219560360"/>
      <w:bookmarkStart w:id="51" w:name="_Toc215024015"/>
      <w:bookmarkStart w:id="52" w:name="_Toc238997569"/>
      <w:bookmarkStart w:id="53" w:name="_Toc207337941"/>
      <w:bookmarkStart w:id="54" w:name="_Toc206828606"/>
      <w:bookmarkStart w:id="55" w:name="_Toc219868438"/>
      <w:bookmarkStart w:id="56" w:name="_Toc244259625"/>
      <w:bookmarkStart w:id="57" w:name="_Toc250703302"/>
      <w:bookmarkStart w:id="58" w:name="_Toc214985279"/>
      <w:bookmarkStart w:id="59" w:name="_Toc329878321"/>
      <w:bookmarkStart w:id="60" w:name="_Toc294260813"/>
      <w:bookmarkStart w:id="61" w:name="_Toc208889168"/>
      <w:bookmarkStart w:id="62" w:name="_Toc208919376"/>
      <w:bookmarkStart w:id="63" w:name="_Toc240341961"/>
      <w:bookmarkStart w:id="64" w:name="_Toc213765501"/>
      <w:bookmarkStart w:id="65" w:name="_Toc238990589"/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噪音自行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3.2.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噪音自行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噪声源监测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边界噪声监测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3.2.2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噪音自行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点布置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噪声源监测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主要噪声源附近1米处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边界噪声监测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厂区四周布设4个监测点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3.2.3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噪音自行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方法</w:t>
      </w:r>
    </w:p>
    <w:p>
      <w:pPr>
        <w:autoSpaceDE w:val="0"/>
        <w:autoSpaceDN w:val="0"/>
        <w:adjustRightInd w:val="0"/>
        <w:spacing w:line="360" w:lineRule="auto"/>
        <w:ind w:firstLine="422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zh-CN"/>
        </w:rPr>
        <w:t>分析方法及方法检出限</w:t>
      </w:r>
    </w:p>
    <w:tbl>
      <w:tblPr>
        <w:tblStyle w:val="14"/>
        <w:tblW w:w="9107" w:type="dxa"/>
        <w:jc w:val="center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43"/>
        <w:gridCol w:w="4500"/>
        <w:gridCol w:w="1245"/>
        <w:gridCol w:w="1178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  <w:t>序号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  <w:t>监测项目</w:t>
            </w:r>
          </w:p>
        </w:tc>
        <w:tc>
          <w:tcPr>
            <w:tcW w:w="45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aps/>
                <w:sz w:val="28"/>
                <w:szCs w:val="28"/>
              </w:rPr>
              <w:t>分析方法和标准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使用仪器/型号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  <w:t>方法检出限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噪声源</w:t>
            </w:r>
          </w:p>
        </w:tc>
        <w:tc>
          <w:tcPr>
            <w:tcW w:w="45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监测采样及分析方法：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《环境监测技术规范》。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按《声学/环境噪声测量方法》（GB/T3222-94）中第五款“测量方法”的要求和《声环境质量标准》（GB3096-2008）中的有关规定进行。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按照《声环境质量标准》（GB3096-2008）中的有关规定，选在无雨、风速小于5.5m/s的天气进行测量，传声器设置厂界外1米处，高度为1.2～1.5米。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每一测点连续监测时间为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分钟所得的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Leq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值。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噪音检测仪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8922型</w:t>
            </w:r>
          </w:p>
        </w:tc>
        <w:tc>
          <w:tcPr>
            <w:tcW w:w="11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bCs/>
              </w:rPr>
              <w:t>等效连续A声级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边界噪声</w:t>
            </w:r>
          </w:p>
        </w:tc>
        <w:tc>
          <w:tcPr>
            <w:tcW w:w="45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监测采样及分析方法：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《环境监测技术规范》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bCs/>
              </w:rPr>
              <w:t>等效连续A声级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3.2.4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噪音自行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频次</w:t>
      </w:r>
    </w:p>
    <w:p>
      <w:pPr>
        <w:adjustRightInd w:val="0"/>
        <w:snapToGrid w:val="0"/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噪声源监测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次。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监测时段为昼间（6:00-22:00）和夜间（22:00-06:00）。</w:t>
      </w:r>
      <w:bookmarkStart w:id="97" w:name="_GoBack"/>
      <w:bookmarkEnd w:id="97"/>
    </w:p>
    <w:p>
      <w:pPr>
        <w:pStyle w:val="6"/>
        <w:ind w:firstLine="48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边界噪声监测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每年至少1次，分昼间、夜间进行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昼间60dB(A)、夜间50dB(A)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tabs>
          <w:tab w:val="left" w:pos="720"/>
          <w:tab w:val="left" w:pos="1418"/>
        </w:tabs>
        <w:adjustRightInd w:val="0"/>
        <w:spacing w:before="156" w:beforeLines="50" w:after="156" w:afterLines="50"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66" w:name="_Toc250703304"/>
      <w:bookmarkStart w:id="67" w:name="_Toc219868440"/>
      <w:bookmarkStart w:id="68" w:name="_Toc218747779"/>
      <w:bookmarkStart w:id="69" w:name="_Toc250666368"/>
      <w:bookmarkStart w:id="70" w:name="_Toc213074987"/>
      <w:bookmarkStart w:id="71" w:name="_Toc218750530"/>
      <w:bookmarkStart w:id="72" w:name="_Toc244259627"/>
      <w:bookmarkStart w:id="73" w:name="_Toc238997571"/>
      <w:bookmarkStart w:id="74" w:name="_Toc213765503"/>
      <w:bookmarkStart w:id="75" w:name="_Toc222027728"/>
      <w:bookmarkStart w:id="76" w:name="_Toc238990591"/>
      <w:bookmarkStart w:id="77" w:name="_Toc213044806"/>
      <w:bookmarkStart w:id="78" w:name="_Toc210224734"/>
      <w:bookmarkStart w:id="79" w:name="_Toc206828608"/>
      <w:bookmarkStart w:id="80" w:name="_Toc250641373"/>
      <w:bookmarkStart w:id="81" w:name="_Toc214985281"/>
      <w:bookmarkStart w:id="82" w:name="_Toc215024017"/>
      <w:bookmarkStart w:id="83" w:name="_Toc208919378"/>
      <w:bookmarkStart w:id="84" w:name="_Toc244330376"/>
      <w:bookmarkStart w:id="85" w:name="_Toc208889170"/>
      <w:bookmarkStart w:id="86" w:name="_Toc210226260"/>
      <w:bookmarkStart w:id="87" w:name="_Toc207337943"/>
      <w:bookmarkStart w:id="88" w:name="_Toc247122103"/>
      <w:bookmarkStart w:id="89" w:name="_Toc240341963"/>
      <w:bookmarkStart w:id="90" w:name="_Toc219560362"/>
      <w:bookmarkStart w:id="91" w:name="_Toc221967730"/>
      <w:bookmarkStart w:id="92" w:name="_Toc294260814"/>
      <w:bookmarkStart w:id="93" w:name="_Toc329878324"/>
      <w:bookmarkStart w:id="94" w:name="_Toc343694925"/>
      <w:bookmarkStart w:id="95" w:name="_Toc353553965"/>
      <w:bookmarkStart w:id="96" w:name="_Toc44087691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监测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数据分析和处理</w:t>
      </w:r>
      <w:bookmarkEnd w:id="92"/>
      <w:bookmarkEnd w:id="93"/>
      <w:bookmarkEnd w:id="94"/>
      <w:bookmarkEnd w:id="95"/>
      <w:bookmarkEnd w:id="9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在监测过程中，如发现某参数有超标异常情况，应分析原因并报告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安全环保领导小组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，及时采取改进生产或加强污染控制的措施。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建立合理可行的监测质量保证措施；保证监测数据客观、公正、准确、可靠、不受行政和其它因素的干预。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4.3、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定期(月、季、年)对监测数据进行综合分析，掌握废水、废气、噪声等达标情况，并向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安全环保领导小组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作出书面汇报</w:t>
      </w: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建立监测资料档案，以便发现事故时，可以及时查明事故发生的原因，使污染事故能够得到及时处理。</w:t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黑体_x0004_.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DFKai-SB">
    <w:altName w:val="MingLiU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全真楷書">
    <w:altName w:val="PMingLiU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Roman 10cpi">
    <w:altName w:val="Times New Roman"/>
    <w:panose1 w:val="00000000000000000000"/>
    <w:charset w:val="00"/>
    <w:family w:val="auto"/>
    <w:pitch w:val="default"/>
    <w:sig w:usb0="00000000" w:usb1="00000000" w:usb2="0000006E" w:usb3="81540000" w:csb0="00000001" w:csb1="8155A1AC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askerville Old Face">
    <w:altName w:val="PMingLiU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華康楷書體W5">
    <w:altName w:val="PMingLiU"/>
    <w:panose1 w:val="03000509000000000000"/>
    <w:charset w:val="88"/>
    <w:family w:val="script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細圓體">
    <w:altName w:val="PMingLiU"/>
    <w:panose1 w:val="02010609010101010101"/>
    <w:charset w:val="88"/>
    <w:family w:val="modern"/>
    <w:pitch w:val="default"/>
    <w:sig w:usb0="00000000" w:usb1="00000000" w:usb2="00000010" w:usb3="00000000" w:csb0="00100000" w:csb1="00000000"/>
  </w:font>
  <w:font w:name="Helvetica-Normal">
    <w:altName w:val="Times New Roman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한양신명조">
    <w:altName w:val="Dotum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Century Gothic">
    <w:altName w:val="Trebuchet MS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A5253"/>
    <w:rsid w:val="014713CC"/>
    <w:rsid w:val="17DA5253"/>
    <w:rsid w:val="265C2D3D"/>
    <w:rsid w:val="384E6BAD"/>
    <w:rsid w:val="659808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link w:val="12"/>
    <w:semiHidden/>
    <w:qFormat/>
    <w:uiPriority w:val="0"/>
    <w:rPr>
      <w:kern w:val="2"/>
      <w:sz w:val="21"/>
      <w:szCs w:val="24"/>
      <w:lang w:val="en-US" w:eastAsia="zh-CN" w:bidi="ar-SA"/>
    </w:rPr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styleId="7">
    <w:name w:val="Date"/>
    <w:basedOn w:val="1"/>
    <w:next w:val="1"/>
    <w:qFormat/>
    <w:uiPriority w:val="0"/>
    <w:rPr>
      <w:szCs w:val="20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char"/>
    <w:basedOn w:val="1"/>
    <w:link w:val="11"/>
    <w:qFormat/>
    <w:uiPriority w:val="0"/>
    <w:pPr>
      <w:widowControl/>
      <w:spacing w:after="160" w:afterLines="0" w:line="240" w:lineRule="exact"/>
      <w:jc w:val="left"/>
    </w:pPr>
    <w:rPr>
      <w:kern w:val="2"/>
      <w:sz w:val="21"/>
      <w:szCs w:val="24"/>
      <w:lang w:val="en-US" w:eastAsia="zh-CN" w:bidi="ar-SA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样式 标题 2标题 2 Char Char Char Char Char标题 2 Char Char Char Char C...1"/>
    <w:basedOn w:val="3"/>
    <w:next w:val="1"/>
    <w:qFormat/>
    <w:uiPriority w:val="0"/>
    <w:pPr>
      <w:adjustRightInd w:val="0"/>
      <w:snapToGrid w:val="0"/>
      <w:spacing w:before="120" w:beforeLines="50" w:after="120" w:afterLines="50" w:line="360" w:lineRule="auto"/>
      <w:jc w:val="left"/>
    </w:pPr>
    <w:rPr>
      <w:rFonts w:ascii="宋体" w:hAnsi="宋体"/>
    </w:rPr>
  </w:style>
  <w:style w:type="paragraph" w:customStyle="1" w:styleId="16">
    <w:name w:val="CM9"/>
    <w:basedOn w:val="17"/>
    <w:next w:val="17"/>
    <w:qFormat/>
    <w:uiPriority w:val="0"/>
    <w:pPr>
      <w:spacing w:line="463" w:lineRule="atLeast"/>
      <w:jc w:val="left"/>
    </w:pPr>
    <w:rPr>
      <w:rFonts w:ascii="黑体_x0004_..ā" w:hAnsi="Calibri" w:eastAsia="黑体_x0004_..ā" w:cs="Times New Roman"/>
      <w:color w:val="auto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customStyle="1" w:styleId="18">
    <w:name w:val="样式 表格 32 + 首行缩进:  2 字符"/>
    <w:basedOn w:val="1"/>
    <w:qFormat/>
    <w:uiPriority w:val="0"/>
    <w:pPr>
      <w:snapToGrid/>
      <w:spacing w:line="240" w:lineRule="atLeast"/>
    </w:pPr>
    <w:rPr>
      <w:rFonts w:eastAsia="宋体"/>
      <w:sz w:val="21"/>
      <w:szCs w:val="21"/>
      <w:lang w:val="en-US" w:eastAsia="zh-CN"/>
    </w:rPr>
  </w:style>
  <w:style w:type="paragraph" w:customStyle="1" w:styleId="19">
    <w:name w:val="缩进"/>
    <w:basedOn w:val="1"/>
    <w:qFormat/>
    <w:uiPriority w:val="0"/>
    <w:pPr>
      <w:autoSpaceDE w:val="0"/>
      <w:autoSpaceDN w:val="0"/>
      <w:adjustRightInd w:val="0"/>
      <w:spacing w:line="400" w:lineRule="atLeast"/>
      <w:ind w:firstLine="420"/>
      <w:textAlignment w:val="baseline"/>
    </w:pPr>
    <w:rPr>
      <w:rFonts w:ascii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2016-05-21T01:16:00Z</dcterms:created>
  <dc:creator>Administrator</dc:creator>
  <cp:lastModifiedBy>Administrator</cp:lastModifiedBy>
  <dcterms:modified xsi:type="dcterms:W3CDTF">2016-05-25T06:00:03Z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